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697" w:firstLineChars="837"/>
        <w:rPr>
          <w:b/>
          <w:bCs/>
          <w:sz w:val="44"/>
          <w:szCs w:val="44"/>
        </w:rPr>
      </w:pPr>
      <w:r>
        <w:rPr>
          <w:rFonts w:hint="eastAsia"/>
          <w:b/>
          <w:bCs/>
          <w:sz w:val="44"/>
          <w:szCs w:val="44"/>
        </w:rPr>
        <w:t>总  说  明</w:t>
      </w:r>
    </w:p>
    <w:p>
      <w:pPr>
        <w:spacing w:line="360" w:lineRule="auto"/>
        <w:rPr>
          <w:b/>
          <w:sz w:val="24"/>
        </w:rPr>
      </w:pPr>
      <w:r>
        <w:rPr>
          <w:rFonts w:hint="eastAsia"/>
          <w:b/>
          <w:sz w:val="24"/>
        </w:rPr>
        <w:t>工程名称:启东市盐业有限公司仓库综合体屋顶渗漏修缮</w:t>
      </w:r>
    </w:p>
    <w:p>
      <w:pPr>
        <w:numPr>
          <w:ilvl w:val="0"/>
          <w:numId w:val="1"/>
        </w:numPr>
        <w:spacing w:line="360" w:lineRule="auto"/>
        <w:ind w:left="420" w:leftChars="200"/>
        <w:rPr>
          <w:rFonts w:ascii="宋体" w:hAnsi="宋体" w:cs="宋体"/>
          <w:kern w:val="0"/>
          <w:sz w:val="24"/>
        </w:rPr>
      </w:pPr>
      <w:r>
        <w:rPr>
          <w:rFonts w:hint="eastAsia" w:ascii="宋体" w:hAnsi="宋体" w:cs="宋体"/>
          <w:kern w:val="0"/>
          <w:sz w:val="24"/>
        </w:rPr>
        <w:t>工程概况</w:t>
      </w:r>
    </w:p>
    <w:p>
      <w:pPr>
        <w:spacing w:line="360" w:lineRule="auto"/>
        <w:ind w:firstLine="720" w:firstLineChars="300"/>
        <w:rPr>
          <w:rFonts w:ascii="宋体" w:hAnsi="宋体" w:cs="宋体"/>
          <w:kern w:val="0"/>
          <w:sz w:val="24"/>
        </w:rPr>
      </w:pPr>
      <w:r>
        <w:rPr>
          <w:rFonts w:hint="eastAsia" w:ascii="宋体" w:hAnsi="宋体" w:cs="宋体"/>
          <w:kern w:val="0"/>
          <w:sz w:val="24"/>
          <w:lang w:val="en-US" w:eastAsia="zh-CN"/>
        </w:rPr>
        <w:t>本工程为</w:t>
      </w:r>
      <w:r>
        <w:rPr>
          <w:rFonts w:hint="eastAsia" w:ascii="宋体" w:hAnsi="宋体" w:cs="宋体"/>
          <w:kern w:val="0"/>
          <w:sz w:val="24"/>
        </w:rPr>
        <w:t>启东市盐业有限公司仓库综合体屋顶渗漏修缮；</w:t>
      </w:r>
    </w:p>
    <w:p>
      <w:pPr>
        <w:numPr>
          <w:ilvl w:val="0"/>
          <w:numId w:val="1"/>
        </w:numPr>
        <w:spacing w:line="360" w:lineRule="auto"/>
        <w:ind w:left="420" w:leftChars="200"/>
        <w:rPr>
          <w:rFonts w:ascii="宋体" w:hAnsi="宋体" w:cs="宋体"/>
          <w:kern w:val="0"/>
          <w:sz w:val="24"/>
        </w:rPr>
      </w:pPr>
      <w:r>
        <w:rPr>
          <w:rFonts w:hint="eastAsia" w:ascii="宋体" w:hAnsi="宋体" w:cs="宋体"/>
          <w:kern w:val="0"/>
          <w:sz w:val="24"/>
        </w:rPr>
        <w:t>招标范围</w:t>
      </w:r>
    </w:p>
    <w:p>
      <w:pPr>
        <w:spacing w:line="360" w:lineRule="auto"/>
        <w:ind w:left="420" w:leftChars="200"/>
        <w:rPr>
          <w:rFonts w:ascii="宋体" w:hAnsi="宋体" w:cs="宋体"/>
          <w:kern w:val="0"/>
          <w:sz w:val="24"/>
        </w:rPr>
      </w:pPr>
      <w:r>
        <w:rPr>
          <w:rFonts w:hint="eastAsia" w:ascii="宋体" w:hAnsi="宋体" w:cs="宋体"/>
          <w:kern w:val="0"/>
          <w:sz w:val="24"/>
        </w:rPr>
        <w:t>1、详见工程量清单。</w:t>
      </w:r>
    </w:p>
    <w:p>
      <w:pPr>
        <w:spacing w:line="360" w:lineRule="auto"/>
        <w:ind w:left="420" w:leftChars="200"/>
        <w:rPr>
          <w:rFonts w:ascii="宋体" w:hAnsi="宋体" w:cs="宋体"/>
          <w:kern w:val="0"/>
          <w:sz w:val="24"/>
        </w:rPr>
      </w:pPr>
      <w:r>
        <w:rPr>
          <w:rFonts w:hint="eastAsia" w:ascii="宋体" w:hAnsi="宋体" w:cs="宋体"/>
          <w:kern w:val="0"/>
          <w:sz w:val="24"/>
        </w:rPr>
        <w:t>三、工程量清单编制依据</w:t>
      </w:r>
    </w:p>
    <w:p>
      <w:pPr>
        <w:spacing w:line="360" w:lineRule="auto"/>
        <w:ind w:left="420" w:leftChars="200"/>
        <w:rPr>
          <w:rFonts w:ascii="宋体" w:hAnsi="宋体" w:cs="宋体"/>
          <w:kern w:val="0"/>
          <w:sz w:val="24"/>
        </w:rPr>
      </w:pPr>
      <w:r>
        <w:rPr>
          <w:rFonts w:hint="eastAsia" w:ascii="宋体" w:hAnsi="宋体" w:cs="宋体"/>
          <w:kern w:val="0"/>
          <w:sz w:val="24"/>
        </w:rPr>
        <w:t>1、工程量清单计量依据《建设工程工程量清单计价规范》（GB50500-2013）、业主提供的</w:t>
      </w:r>
      <w:r>
        <w:rPr>
          <w:rFonts w:hint="eastAsia" w:ascii="宋体" w:hAnsi="宋体" w:cs="宋体"/>
          <w:kern w:val="0"/>
          <w:sz w:val="24"/>
          <w:lang w:val="en-US" w:eastAsia="zh-CN"/>
        </w:rPr>
        <w:t>实施方案</w:t>
      </w:r>
      <w:r>
        <w:rPr>
          <w:rFonts w:hint="eastAsia" w:ascii="宋体" w:hAnsi="宋体" w:cs="宋体"/>
          <w:kern w:val="0"/>
          <w:sz w:val="24"/>
        </w:rPr>
        <w:t>。</w:t>
      </w:r>
    </w:p>
    <w:p>
      <w:pPr>
        <w:spacing w:line="360" w:lineRule="auto"/>
        <w:ind w:left="420" w:leftChars="200"/>
        <w:rPr>
          <w:sz w:val="24"/>
        </w:rPr>
      </w:pPr>
      <w:r>
        <w:rPr>
          <w:rFonts w:hint="eastAsia" w:ascii="宋体" w:hAnsi="宋体" w:cs="宋体"/>
          <w:kern w:val="0"/>
          <w:sz w:val="24"/>
        </w:rPr>
        <w:t>2、《江苏省</w:t>
      </w:r>
      <w:r>
        <w:rPr>
          <w:rFonts w:hint="eastAsia" w:ascii="宋体" w:hAnsi="宋体" w:cs="宋体"/>
          <w:kern w:val="0"/>
          <w:sz w:val="24"/>
          <w:lang w:val="en-US" w:eastAsia="zh-CN"/>
        </w:rPr>
        <w:t>修缮建筑</w:t>
      </w:r>
      <w:r>
        <w:rPr>
          <w:rFonts w:hint="eastAsia" w:ascii="宋体" w:hAnsi="宋体" w:cs="宋体"/>
          <w:kern w:val="0"/>
          <w:sz w:val="24"/>
        </w:rPr>
        <w:t>工程》(200</w:t>
      </w:r>
      <w:r>
        <w:rPr>
          <w:rFonts w:hint="eastAsia" w:ascii="宋体" w:hAnsi="宋体" w:cs="宋体"/>
          <w:kern w:val="0"/>
          <w:sz w:val="24"/>
          <w:lang w:val="en-US" w:eastAsia="zh-CN"/>
        </w:rPr>
        <w:t>9</w:t>
      </w:r>
      <w:r>
        <w:rPr>
          <w:rFonts w:hint="eastAsia" w:ascii="宋体" w:hAnsi="宋体" w:cs="宋体"/>
          <w:kern w:val="0"/>
          <w:sz w:val="24"/>
        </w:rPr>
        <w:t>)、《江苏省</w:t>
      </w:r>
      <w:r>
        <w:rPr>
          <w:rFonts w:hint="eastAsia" w:ascii="宋体" w:hAnsi="宋体" w:cs="宋体"/>
          <w:kern w:val="0"/>
          <w:sz w:val="24"/>
          <w:lang w:val="en-US" w:eastAsia="zh-CN"/>
        </w:rPr>
        <w:t>建筑与装饰</w:t>
      </w:r>
      <w:r>
        <w:rPr>
          <w:rFonts w:hint="eastAsia" w:ascii="宋体" w:hAnsi="宋体" w:cs="宋体"/>
          <w:kern w:val="0"/>
          <w:sz w:val="24"/>
        </w:rPr>
        <w:t>工程》(20</w:t>
      </w:r>
      <w:r>
        <w:rPr>
          <w:rFonts w:hint="eastAsia" w:ascii="宋体" w:hAnsi="宋体" w:cs="宋体"/>
          <w:kern w:val="0"/>
          <w:sz w:val="24"/>
          <w:lang w:val="en-US" w:eastAsia="zh-CN"/>
        </w:rPr>
        <w:t>14</w:t>
      </w:r>
      <w:r>
        <w:rPr>
          <w:rFonts w:hint="eastAsia" w:ascii="宋体" w:hAnsi="宋体" w:cs="宋体"/>
          <w:kern w:val="0"/>
          <w:sz w:val="24"/>
        </w:rPr>
        <w:t>)及配套年费用定额</w:t>
      </w:r>
      <w:r>
        <w:rPr>
          <w:rFonts w:hint="eastAsia"/>
          <w:sz w:val="24"/>
        </w:rPr>
        <w:t>；</w:t>
      </w:r>
    </w:p>
    <w:p>
      <w:pPr>
        <w:spacing w:line="360" w:lineRule="auto"/>
        <w:ind w:left="420" w:leftChars="200"/>
        <w:rPr>
          <w:rFonts w:ascii="宋体" w:hAnsi="宋体" w:cs="宋体"/>
          <w:kern w:val="0"/>
          <w:sz w:val="24"/>
        </w:rPr>
      </w:pPr>
      <w:r>
        <w:rPr>
          <w:rFonts w:hint="eastAsia" w:ascii="宋体" w:hAnsi="宋体" w:cs="宋体"/>
          <w:kern w:val="0"/>
          <w:sz w:val="24"/>
        </w:rPr>
        <w:t>3、《省住房城乡建设厅关于发布建设工程人工工资指导价的通知》（苏建函价[202</w:t>
      </w:r>
      <w:r>
        <w:rPr>
          <w:rFonts w:hint="eastAsia" w:ascii="宋体" w:hAnsi="宋体" w:cs="宋体"/>
          <w:kern w:val="0"/>
          <w:sz w:val="24"/>
          <w:lang w:val="en-US" w:eastAsia="zh-CN"/>
        </w:rPr>
        <w:t>1</w:t>
      </w:r>
      <w:r>
        <w:rPr>
          <w:rFonts w:hint="eastAsia" w:ascii="宋体" w:hAnsi="宋体" w:cs="宋体"/>
          <w:kern w:val="0"/>
          <w:sz w:val="24"/>
        </w:rPr>
        <w:t>]</w:t>
      </w:r>
      <w:r>
        <w:rPr>
          <w:rFonts w:hint="eastAsia" w:ascii="宋体" w:hAnsi="宋体" w:cs="宋体"/>
          <w:kern w:val="0"/>
          <w:sz w:val="24"/>
          <w:lang w:val="en-US" w:eastAsia="zh-CN"/>
        </w:rPr>
        <w:t>062</w:t>
      </w:r>
      <w:r>
        <w:rPr>
          <w:rFonts w:hint="eastAsia" w:ascii="宋体" w:hAnsi="宋体" w:cs="宋体"/>
          <w:kern w:val="0"/>
          <w:sz w:val="24"/>
        </w:rPr>
        <w:t>号）；</w:t>
      </w:r>
    </w:p>
    <w:p>
      <w:pPr>
        <w:spacing w:line="360" w:lineRule="auto"/>
        <w:ind w:left="420" w:leftChars="200"/>
        <w:rPr>
          <w:rFonts w:ascii="宋体" w:hAnsi="宋体" w:cs="宋体"/>
          <w:kern w:val="0"/>
          <w:sz w:val="24"/>
        </w:rPr>
      </w:pPr>
      <w:r>
        <w:rPr>
          <w:rFonts w:hint="eastAsia" w:ascii="宋体" w:hAnsi="宋体" w:cs="宋体"/>
          <w:kern w:val="0"/>
          <w:sz w:val="24"/>
        </w:rPr>
        <w:t>4、启东建设工程造价信息（2021年第</w:t>
      </w:r>
      <w:r>
        <w:rPr>
          <w:rFonts w:hint="eastAsia" w:ascii="宋体" w:hAnsi="宋体" w:cs="宋体"/>
          <w:kern w:val="0"/>
          <w:sz w:val="24"/>
          <w:lang w:val="en-US" w:eastAsia="zh-CN"/>
        </w:rPr>
        <w:t>3</w:t>
      </w:r>
      <w:r>
        <w:rPr>
          <w:rFonts w:hint="eastAsia" w:ascii="宋体" w:hAnsi="宋体" w:cs="宋体"/>
          <w:kern w:val="0"/>
          <w:sz w:val="24"/>
        </w:rPr>
        <w:t>期）及市场价；</w:t>
      </w:r>
    </w:p>
    <w:p>
      <w:pPr>
        <w:spacing w:line="360" w:lineRule="auto"/>
        <w:ind w:left="420" w:leftChars="200"/>
        <w:rPr>
          <w:rFonts w:ascii="宋体" w:hAnsi="宋体" w:cs="宋体"/>
          <w:kern w:val="0"/>
          <w:sz w:val="24"/>
        </w:rPr>
      </w:pPr>
      <w:r>
        <w:rPr>
          <w:rFonts w:hint="eastAsia" w:ascii="宋体" w:hAnsi="宋体" w:cs="宋体"/>
          <w:kern w:val="0"/>
          <w:sz w:val="24"/>
        </w:rPr>
        <w:t>5、苏建函价[2019]178号“省住房城乡建设厅关于调整建设工程计价增值税税率的通知”等现行工程造价文件规定。</w:t>
      </w:r>
    </w:p>
    <w:p>
      <w:pPr>
        <w:spacing w:line="360" w:lineRule="auto"/>
        <w:ind w:left="420" w:leftChars="200"/>
        <w:rPr>
          <w:rFonts w:ascii="宋体" w:hAnsi="宋体" w:cs="宋体"/>
          <w:kern w:val="0"/>
          <w:sz w:val="24"/>
        </w:rPr>
      </w:pPr>
      <w:r>
        <w:rPr>
          <w:rFonts w:hint="eastAsia" w:ascii="宋体" w:hAnsi="宋体" w:cs="宋体"/>
          <w:kern w:val="0"/>
          <w:sz w:val="24"/>
        </w:rPr>
        <w:t>6、江苏省住建厅关于调整建设工程按质论价等费用计取方法的公告〔2018〕第24号。</w:t>
      </w:r>
    </w:p>
    <w:p>
      <w:pPr>
        <w:spacing w:line="360" w:lineRule="auto"/>
        <w:ind w:left="420" w:leftChars="200"/>
        <w:rPr>
          <w:rFonts w:ascii="宋体" w:hAnsi="宋体" w:cs="宋体"/>
          <w:kern w:val="0"/>
          <w:sz w:val="24"/>
        </w:rPr>
      </w:pPr>
      <w:r>
        <w:rPr>
          <w:rFonts w:hint="eastAsia" w:ascii="宋体" w:hAnsi="宋体" w:cs="宋体"/>
          <w:kern w:val="0"/>
          <w:sz w:val="24"/>
        </w:rPr>
        <w:t>四、有关说明</w:t>
      </w:r>
    </w:p>
    <w:p>
      <w:pPr>
        <w:spacing w:line="360" w:lineRule="auto"/>
        <w:ind w:firstLine="465"/>
        <w:rPr>
          <w:rFonts w:ascii="宋体" w:hAnsi="宋体" w:cs="宋体"/>
          <w:kern w:val="0"/>
          <w:sz w:val="24"/>
        </w:rPr>
      </w:pPr>
      <w:r>
        <w:rPr>
          <w:rFonts w:hint="eastAsia" w:ascii="宋体" w:hAnsi="宋体" w:cs="宋体"/>
          <w:kern w:val="0"/>
          <w:sz w:val="24"/>
        </w:rPr>
        <w:t>1、由业主提供的</w:t>
      </w:r>
      <w:r>
        <w:rPr>
          <w:rFonts w:hint="eastAsia" w:ascii="宋体" w:hAnsi="宋体" w:cs="宋体"/>
          <w:kern w:val="0"/>
          <w:sz w:val="24"/>
          <w:lang w:val="en-US" w:eastAsia="zh-CN"/>
        </w:rPr>
        <w:t>实施方案</w:t>
      </w:r>
      <w:r>
        <w:rPr>
          <w:rFonts w:hint="eastAsia" w:ascii="宋体" w:hAnsi="宋体" w:cs="宋体"/>
          <w:kern w:val="0"/>
          <w:sz w:val="24"/>
        </w:rPr>
        <w:t>。（2021.</w:t>
      </w:r>
      <w:r>
        <w:rPr>
          <w:rFonts w:hint="eastAsia" w:ascii="宋体" w:hAnsi="宋体" w:cs="宋体"/>
          <w:kern w:val="0"/>
          <w:sz w:val="24"/>
          <w:lang w:val="en-US" w:eastAsia="zh-CN"/>
        </w:rPr>
        <w:t>3</w:t>
      </w:r>
      <w:r>
        <w:rPr>
          <w:rFonts w:hint="eastAsia" w:ascii="宋体" w:hAnsi="宋体" w:cs="宋体"/>
          <w:kern w:val="0"/>
          <w:sz w:val="24"/>
        </w:rPr>
        <w:t>）。</w:t>
      </w:r>
    </w:p>
    <w:p>
      <w:pPr>
        <w:spacing w:line="360" w:lineRule="auto"/>
        <w:ind w:firstLine="465"/>
        <w:rPr>
          <w:rFonts w:ascii="宋体" w:hAnsi="宋体" w:cs="宋体"/>
          <w:kern w:val="0"/>
          <w:sz w:val="24"/>
        </w:rPr>
      </w:pPr>
      <w:r>
        <w:rPr>
          <w:rFonts w:hint="eastAsia" w:ascii="宋体" w:hAnsi="宋体" w:cs="宋体"/>
          <w:kern w:val="0"/>
          <w:sz w:val="24"/>
        </w:rPr>
        <w:t>2、现场安全文明施工费仅计基本费，增加费未计取。</w:t>
      </w:r>
    </w:p>
    <w:p>
      <w:pPr>
        <w:spacing w:line="360" w:lineRule="auto"/>
        <w:ind w:firstLine="480" w:firstLineChars="200"/>
        <w:rPr>
          <w:rFonts w:ascii="宋体" w:hAnsi="宋体" w:cs="宋体"/>
          <w:kern w:val="0"/>
          <w:sz w:val="24"/>
        </w:rPr>
      </w:pPr>
      <w:r>
        <w:rPr>
          <w:rFonts w:hint="eastAsia" w:ascii="宋体" w:hAnsi="宋体" w:cs="宋体"/>
          <w:kern w:val="0"/>
          <w:sz w:val="24"/>
        </w:rPr>
        <w:t>3、工程量清单中未体现但施工中必须发生的工程内容所需费用综合考虑，列入相应子目的报价中，结算时不做调整。</w:t>
      </w:r>
    </w:p>
    <w:p>
      <w:pPr>
        <w:spacing w:line="360" w:lineRule="auto"/>
        <w:ind w:firstLine="480" w:firstLineChars="200"/>
        <w:rPr>
          <w:rFonts w:ascii="宋体" w:hAnsi="宋体" w:cs="宋体"/>
          <w:kern w:val="0"/>
          <w:sz w:val="24"/>
        </w:rPr>
      </w:pPr>
      <w:r>
        <w:rPr>
          <w:rFonts w:hint="eastAsia" w:ascii="宋体" w:hAnsi="宋体" w:cs="宋体"/>
          <w:kern w:val="0"/>
          <w:sz w:val="24"/>
        </w:rPr>
        <w:t>4、现场安全文明施工措施费按启住建</w:t>
      </w:r>
      <w:r>
        <w:rPr>
          <w:rFonts w:ascii="宋体" w:hAnsi="宋体" w:cs="宋体"/>
          <w:kern w:val="0"/>
          <w:sz w:val="24"/>
        </w:rPr>
        <w:t>[2015]12</w:t>
      </w:r>
      <w:r>
        <w:rPr>
          <w:rFonts w:hint="eastAsia" w:ascii="宋体" w:hAnsi="宋体" w:cs="宋体"/>
          <w:kern w:val="0"/>
          <w:sz w:val="24"/>
        </w:rPr>
        <w:t>文件精神，结算时以造价管理部门核定费率调整。</w:t>
      </w:r>
    </w:p>
    <w:p>
      <w:pPr>
        <w:spacing w:line="480" w:lineRule="auto"/>
        <w:ind w:firstLine="465"/>
        <w:rPr>
          <w:rFonts w:hint="eastAsia" w:ascii="宋体" w:hAnsi="宋体" w:cs="宋体"/>
          <w:kern w:val="0"/>
          <w:sz w:val="24"/>
        </w:rPr>
      </w:pPr>
      <w:r>
        <w:rPr>
          <w:rFonts w:hint="eastAsia" w:ascii="宋体" w:hAnsi="宋体" w:cs="宋体"/>
          <w:kern w:val="0"/>
          <w:sz w:val="24"/>
          <w:lang w:val="en-US" w:eastAsia="zh-CN"/>
        </w:rPr>
        <w:t>5</w:t>
      </w:r>
      <w:r>
        <w:rPr>
          <w:rFonts w:hint="eastAsia" w:ascii="宋体" w:hAnsi="宋体" w:cs="宋体"/>
          <w:kern w:val="0"/>
          <w:sz w:val="24"/>
        </w:rPr>
        <w:t>、本工程指定材料品牌见下表：</w:t>
      </w:r>
    </w:p>
    <w:p>
      <w:pPr>
        <w:spacing w:line="480" w:lineRule="auto"/>
        <w:ind w:firstLine="465"/>
        <w:rPr>
          <w:rFonts w:hint="eastAsia" w:ascii="宋体" w:hAnsi="宋体" w:cs="宋体"/>
          <w:kern w:val="0"/>
          <w:sz w:val="24"/>
        </w:rPr>
      </w:pPr>
    </w:p>
    <w:p>
      <w:pPr>
        <w:spacing w:line="480" w:lineRule="auto"/>
        <w:ind w:firstLine="465"/>
        <w:rPr>
          <w:rFonts w:hint="eastAsia" w:ascii="宋体" w:hAnsi="宋体" w:cs="宋体"/>
          <w:kern w:val="0"/>
          <w:sz w:val="24"/>
        </w:rPr>
      </w:pPr>
    </w:p>
    <w:p>
      <w:pPr>
        <w:spacing w:line="480" w:lineRule="auto"/>
        <w:ind w:firstLine="465"/>
        <w:rPr>
          <w:rFonts w:hint="eastAsia" w:ascii="宋体" w:hAnsi="宋体" w:cs="宋体"/>
          <w:kern w:val="0"/>
          <w:sz w:val="24"/>
        </w:rPr>
      </w:pPr>
    </w:p>
    <w:tbl>
      <w:tblPr>
        <w:tblStyle w:val="5"/>
        <w:tblW w:w="9338" w:type="dxa"/>
        <w:tblInd w:w="-17" w:type="dxa"/>
        <w:tblLayout w:type="fixed"/>
        <w:tblCellMar>
          <w:top w:w="0" w:type="dxa"/>
          <w:left w:w="0" w:type="dxa"/>
          <w:bottom w:w="0" w:type="dxa"/>
          <w:right w:w="0" w:type="dxa"/>
        </w:tblCellMar>
      </w:tblPr>
      <w:tblGrid>
        <w:gridCol w:w="605"/>
        <w:gridCol w:w="1545"/>
        <w:gridCol w:w="945"/>
        <w:gridCol w:w="847"/>
        <w:gridCol w:w="1658"/>
        <w:gridCol w:w="1800"/>
        <w:gridCol w:w="1938"/>
      </w:tblGrid>
      <w:tr>
        <w:tblPrEx>
          <w:tblCellMar>
            <w:top w:w="0" w:type="dxa"/>
            <w:left w:w="0" w:type="dxa"/>
            <w:bottom w:w="0" w:type="dxa"/>
            <w:right w:w="0" w:type="dxa"/>
          </w:tblCellMar>
        </w:tblPrEx>
        <w:trPr>
          <w:trHeight w:val="713" w:hRule="atLeast"/>
        </w:trPr>
        <w:tc>
          <w:tcPr>
            <w:tcW w:w="60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20"/>
                <w:szCs w:val="20"/>
                <w:lang w:val="en-US" w:eastAsia="zh-CN" w:bidi="ar"/>
              </w:rPr>
            </w:pPr>
            <w:r>
              <w:rPr>
                <w:rFonts w:hint="eastAsia" w:ascii="宋体" w:hAnsi="宋体" w:cs="宋体"/>
                <w:color w:val="000000"/>
                <w:kern w:val="0"/>
                <w:sz w:val="20"/>
                <w:szCs w:val="20"/>
                <w:lang w:eastAsia="zh-CN" w:bidi="ar"/>
              </w:rPr>
              <w:t>序号</w:t>
            </w:r>
          </w:p>
        </w:tc>
        <w:tc>
          <w:tcPr>
            <w:tcW w:w="154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材料名称</w:t>
            </w:r>
          </w:p>
        </w:tc>
        <w:tc>
          <w:tcPr>
            <w:tcW w:w="94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cs="宋体"/>
                <w:color w:val="000000"/>
                <w:sz w:val="20"/>
                <w:szCs w:val="20"/>
                <w:lang w:val="en-US" w:eastAsia="zh-CN"/>
              </w:rPr>
              <w:t>单位</w:t>
            </w:r>
          </w:p>
        </w:tc>
        <w:tc>
          <w:tcPr>
            <w:tcW w:w="84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参数</w:t>
            </w:r>
          </w:p>
        </w:tc>
        <w:tc>
          <w:tcPr>
            <w:tcW w:w="165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20"/>
                <w:szCs w:val="20"/>
                <w:lang w:val="en-US" w:eastAsia="zh-CN" w:bidi="ar"/>
              </w:rPr>
            </w:pPr>
            <w:r>
              <w:rPr>
                <w:rFonts w:hint="eastAsia" w:ascii="宋体" w:hAnsi="宋体" w:cs="宋体"/>
                <w:color w:val="000000"/>
                <w:kern w:val="0"/>
                <w:sz w:val="20"/>
                <w:szCs w:val="20"/>
                <w:lang w:eastAsia="zh-CN" w:bidi="ar"/>
              </w:rPr>
              <w:t>品牌一</w:t>
            </w:r>
          </w:p>
        </w:tc>
        <w:tc>
          <w:tcPr>
            <w:tcW w:w="180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20"/>
                <w:szCs w:val="20"/>
                <w:lang w:val="en-US" w:eastAsia="zh-CN" w:bidi="ar"/>
              </w:rPr>
            </w:pPr>
            <w:r>
              <w:rPr>
                <w:rFonts w:hint="eastAsia" w:ascii="宋体" w:hAnsi="宋体" w:cs="宋体"/>
                <w:color w:val="000000"/>
                <w:kern w:val="0"/>
                <w:sz w:val="20"/>
                <w:szCs w:val="20"/>
                <w:lang w:eastAsia="zh-CN" w:bidi="ar"/>
              </w:rPr>
              <w:t>品牌二</w:t>
            </w:r>
          </w:p>
        </w:tc>
        <w:tc>
          <w:tcPr>
            <w:tcW w:w="193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20"/>
                <w:szCs w:val="20"/>
                <w:lang w:val="en-US" w:eastAsia="zh-CN" w:bidi="ar"/>
              </w:rPr>
            </w:pPr>
            <w:r>
              <w:rPr>
                <w:rFonts w:hint="eastAsia" w:ascii="宋体" w:hAnsi="宋体" w:cs="宋体"/>
                <w:color w:val="000000"/>
                <w:kern w:val="0"/>
                <w:sz w:val="20"/>
                <w:szCs w:val="20"/>
                <w:lang w:eastAsia="zh-CN" w:bidi="ar"/>
              </w:rPr>
              <w:t>品牌三</w:t>
            </w:r>
          </w:p>
        </w:tc>
      </w:tr>
      <w:tr>
        <w:tblPrEx>
          <w:tblCellMar>
            <w:top w:w="0" w:type="dxa"/>
            <w:left w:w="0" w:type="dxa"/>
            <w:bottom w:w="0" w:type="dxa"/>
            <w:right w:w="0" w:type="dxa"/>
          </w:tblCellMar>
        </w:tblPrEx>
        <w:trPr>
          <w:trHeight w:val="713" w:hRule="atLeast"/>
        </w:trPr>
        <w:tc>
          <w:tcPr>
            <w:tcW w:w="60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w:t>
            </w:r>
          </w:p>
        </w:tc>
        <w:tc>
          <w:tcPr>
            <w:tcW w:w="154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jc w:val="left"/>
              <w:textAlignment w:val="center"/>
              <w:rPr>
                <w:rFonts w:hint="eastAsia" w:ascii="宋体" w:hAnsi="宋体" w:eastAsia="宋体" w:cs="宋体"/>
                <w:color w:val="000000"/>
                <w:sz w:val="20"/>
                <w:szCs w:val="20"/>
                <w:lang w:eastAsia="zh-CN"/>
              </w:rPr>
            </w:pPr>
            <w:r>
              <w:rPr>
                <w:rFonts w:hint="eastAsia" w:ascii="宋体" w:hAnsi="宋体" w:cs="宋体"/>
                <w:color w:val="000000"/>
                <w:kern w:val="0"/>
                <w:sz w:val="20"/>
                <w:szCs w:val="20"/>
                <w:lang w:val="en-US" w:eastAsia="zh-CN" w:bidi="ar"/>
              </w:rPr>
              <w:t>防水卷材</w:t>
            </w:r>
          </w:p>
        </w:tc>
        <w:tc>
          <w:tcPr>
            <w:tcW w:w="94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jc w:val="center"/>
              <w:textAlignment w:val="center"/>
              <w:rPr>
                <w:rFonts w:hint="default" w:ascii="宋体" w:hAnsi="宋体" w:cs="宋体"/>
                <w:color w:val="000000"/>
                <w:sz w:val="20"/>
                <w:szCs w:val="20"/>
                <w:lang w:val="en-US" w:eastAsia="zh-CN"/>
              </w:rPr>
            </w:pPr>
            <w:r>
              <w:rPr>
                <w:rFonts w:hint="eastAsia" w:ascii="宋体" w:hAnsi="宋体" w:cs="宋体"/>
                <w:color w:val="000000"/>
                <w:sz w:val="20"/>
                <w:szCs w:val="20"/>
                <w:lang w:val="en-US" w:eastAsia="zh-CN"/>
              </w:rPr>
              <w:t>m2</w:t>
            </w:r>
          </w:p>
        </w:tc>
        <w:tc>
          <w:tcPr>
            <w:tcW w:w="84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jc w:val="center"/>
              <w:textAlignment w:val="center"/>
              <w:rPr>
                <w:rFonts w:hint="default" w:ascii="宋体" w:hAnsi="宋体" w:eastAsia="宋体" w:cs="宋体"/>
                <w:color w:val="000000"/>
                <w:sz w:val="20"/>
                <w:szCs w:val="20"/>
                <w:lang w:val="en-US" w:eastAsia="zh-CN"/>
              </w:rPr>
            </w:pPr>
            <w:r>
              <w:rPr>
                <w:rFonts w:hint="eastAsia" w:ascii="宋体" w:hAnsi="宋体" w:cs="宋体"/>
                <w:color w:val="000000"/>
                <w:kern w:val="0"/>
                <w:sz w:val="20"/>
                <w:szCs w:val="20"/>
                <w:lang w:val="en-US" w:eastAsia="zh-CN" w:bidi="ar"/>
              </w:rPr>
              <w:t>4mm</w:t>
            </w:r>
          </w:p>
        </w:tc>
        <w:tc>
          <w:tcPr>
            <w:tcW w:w="165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东方雨虹</w:t>
            </w:r>
          </w:p>
        </w:tc>
        <w:tc>
          <w:tcPr>
            <w:tcW w:w="180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大禹</w:t>
            </w:r>
          </w:p>
        </w:tc>
        <w:tc>
          <w:tcPr>
            <w:tcW w:w="193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西卡</w:t>
            </w:r>
          </w:p>
        </w:tc>
      </w:tr>
      <w:tr>
        <w:tblPrEx>
          <w:tblCellMar>
            <w:top w:w="0" w:type="dxa"/>
            <w:left w:w="0" w:type="dxa"/>
            <w:bottom w:w="0" w:type="dxa"/>
            <w:right w:w="0" w:type="dxa"/>
          </w:tblCellMar>
        </w:tblPrEx>
        <w:trPr>
          <w:trHeight w:val="720" w:hRule="atLeast"/>
        </w:trPr>
        <w:tc>
          <w:tcPr>
            <w:tcW w:w="60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jc w:val="center"/>
              <w:textAlignment w:val="center"/>
              <w:rPr>
                <w:rFonts w:hint="eastAsia" w:ascii="宋体" w:hAnsi="宋体" w:eastAsia="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2</w:t>
            </w:r>
          </w:p>
        </w:tc>
        <w:tc>
          <w:tcPr>
            <w:tcW w:w="154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val="en-US" w:eastAsia="zh-CN" w:bidi="ar"/>
              </w:rPr>
              <w:t>防水卷材</w:t>
            </w:r>
          </w:p>
        </w:tc>
        <w:tc>
          <w:tcPr>
            <w:tcW w:w="94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jc w:val="center"/>
              <w:textAlignment w:val="center"/>
              <w:rPr>
                <w:rFonts w:hint="eastAsia" w:ascii="宋体" w:hAnsi="宋体" w:cs="宋体"/>
                <w:color w:val="000000"/>
                <w:kern w:val="0"/>
                <w:sz w:val="20"/>
                <w:szCs w:val="20"/>
                <w:lang w:val="en-US" w:eastAsia="zh-CN" w:bidi="ar"/>
              </w:rPr>
            </w:pPr>
            <w:r>
              <w:rPr>
                <w:rFonts w:hint="eastAsia" w:ascii="宋体" w:hAnsi="宋体" w:cs="宋体"/>
                <w:color w:val="000000"/>
                <w:sz w:val="20"/>
                <w:szCs w:val="20"/>
                <w:lang w:val="en-US" w:eastAsia="zh-CN"/>
              </w:rPr>
              <w:t>m2</w:t>
            </w:r>
          </w:p>
        </w:tc>
        <w:tc>
          <w:tcPr>
            <w:tcW w:w="84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val="en-US" w:eastAsia="zh-CN" w:bidi="ar"/>
              </w:rPr>
              <w:t>3mm</w:t>
            </w:r>
          </w:p>
        </w:tc>
        <w:tc>
          <w:tcPr>
            <w:tcW w:w="165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东方雨虹</w:t>
            </w:r>
          </w:p>
        </w:tc>
        <w:tc>
          <w:tcPr>
            <w:tcW w:w="180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大禹</w:t>
            </w:r>
          </w:p>
        </w:tc>
        <w:tc>
          <w:tcPr>
            <w:tcW w:w="193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西卡</w:t>
            </w:r>
          </w:p>
        </w:tc>
      </w:tr>
      <w:tr>
        <w:tblPrEx>
          <w:tblCellMar>
            <w:top w:w="0" w:type="dxa"/>
            <w:left w:w="0" w:type="dxa"/>
            <w:bottom w:w="0" w:type="dxa"/>
            <w:right w:w="0" w:type="dxa"/>
          </w:tblCellMar>
        </w:tblPrEx>
        <w:trPr>
          <w:trHeight w:val="720" w:hRule="atLeast"/>
        </w:trPr>
        <w:tc>
          <w:tcPr>
            <w:tcW w:w="60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jc w:val="center"/>
              <w:textAlignment w:val="center"/>
              <w:rPr>
                <w:rFonts w:hint="eastAsia" w:ascii="宋体" w:hAnsi="宋体" w:eastAsia="宋体" w:cs="宋体"/>
                <w:color w:val="000000"/>
                <w:sz w:val="20"/>
                <w:szCs w:val="20"/>
                <w:lang w:eastAsia="zh-CN"/>
              </w:rPr>
            </w:pPr>
            <w:r>
              <w:rPr>
                <w:rFonts w:hint="eastAsia" w:ascii="宋体" w:hAnsi="宋体" w:cs="宋体"/>
                <w:color w:val="000000"/>
                <w:kern w:val="0"/>
                <w:sz w:val="20"/>
                <w:szCs w:val="20"/>
                <w:lang w:val="en-US" w:eastAsia="zh-CN" w:bidi="ar"/>
              </w:rPr>
              <w:t>3</w:t>
            </w:r>
          </w:p>
        </w:tc>
        <w:tc>
          <w:tcPr>
            <w:tcW w:w="154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非固化橡胶沥青防水涂料</w:t>
            </w:r>
          </w:p>
        </w:tc>
        <w:tc>
          <w:tcPr>
            <w:tcW w:w="945"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jc w:val="center"/>
              <w:textAlignment w:val="center"/>
              <w:rPr>
                <w:rFonts w:hint="eastAsia" w:ascii="宋体" w:hAnsi="宋体" w:cs="宋体"/>
                <w:color w:val="000000"/>
                <w:kern w:val="0"/>
                <w:sz w:val="20"/>
                <w:szCs w:val="20"/>
                <w:lang w:val="en-US" w:eastAsia="zh-CN" w:bidi="ar"/>
              </w:rPr>
            </w:pPr>
            <w:r>
              <w:rPr>
                <w:rFonts w:hint="eastAsia" w:ascii="宋体" w:hAnsi="宋体" w:cs="宋体"/>
                <w:color w:val="000000"/>
                <w:kern w:val="0"/>
                <w:sz w:val="20"/>
                <w:szCs w:val="20"/>
                <w:lang w:val="en-US" w:eastAsia="zh-CN" w:bidi="ar"/>
              </w:rPr>
              <w:t>Kg</w:t>
            </w:r>
          </w:p>
          <w:p>
            <w:pPr>
              <w:widowControl/>
              <w:jc w:val="both"/>
              <w:textAlignment w:val="center"/>
              <w:rPr>
                <w:rFonts w:hint="eastAsia" w:ascii="宋体" w:hAnsi="宋体" w:cs="宋体"/>
                <w:color w:val="000000"/>
                <w:kern w:val="0"/>
                <w:sz w:val="20"/>
                <w:szCs w:val="20"/>
                <w:lang w:val="en-US" w:eastAsia="zh-CN" w:bidi="ar"/>
              </w:rPr>
            </w:pPr>
          </w:p>
        </w:tc>
        <w:tc>
          <w:tcPr>
            <w:tcW w:w="84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jc w:val="center"/>
              <w:textAlignment w:val="center"/>
              <w:rPr>
                <w:rFonts w:hint="eastAsia" w:ascii="宋体" w:hAnsi="宋体" w:cs="宋体"/>
                <w:color w:val="000000"/>
                <w:sz w:val="20"/>
                <w:szCs w:val="20"/>
              </w:rPr>
            </w:pPr>
          </w:p>
        </w:tc>
        <w:tc>
          <w:tcPr>
            <w:tcW w:w="165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东方雨虹</w:t>
            </w:r>
          </w:p>
        </w:tc>
        <w:tc>
          <w:tcPr>
            <w:tcW w:w="180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大禹</w:t>
            </w:r>
          </w:p>
        </w:tc>
        <w:tc>
          <w:tcPr>
            <w:tcW w:w="193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西卡</w:t>
            </w:r>
          </w:p>
        </w:tc>
      </w:tr>
    </w:tbl>
    <w:p>
      <w:pPr>
        <w:spacing w:line="360" w:lineRule="auto"/>
        <w:ind w:firstLine="480" w:firstLineChars="200"/>
        <w:rPr>
          <w:rFonts w:ascii="宋体" w:hAnsi="宋体" w:cs="宋体"/>
          <w:kern w:val="0"/>
          <w:sz w:val="24"/>
        </w:rPr>
      </w:pPr>
    </w:p>
    <w:p>
      <w:pPr>
        <w:spacing w:line="360" w:lineRule="auto"/>
        <w:ind w:firstLine="480" w:firstLineChars="200"/>
        <w:rPr>
          <w:rFonts w:ascii="宋体" w:hAnsi="宋体" w:cs="宋体"/>
          <w:kern w:val="0"/>
          <w:sz w:val="24"/>
        </w:rPr>
      </w:pPr>
      <w:r>
        <w:rPr>
          <w:rFonts w:hint="eastAsia" w:ascii="宋体" w:hAnsi="宋体" w:cs="宋体"/>
          <w:kern w:val="0"/>
          <w:sz w:val="24"/>
          <w:lang w:val="en-US" w:eastAsia="zh-CN"/>
        </w:rPr>
        <w:t>6</w:t>
      </w:r>
      <w:r>
        <w:rPr>
          <w:rFonts w:hint="eastAsia" w:ascii="宋体" w:hAnsi="宋体" w:cs="宋体"/>
          <w:kern w:val="0"/>
          <w:sz w:val="24"/>
        </w:rPr>
        <w:t>、本工程不可竞争费用项目及其费率见下表；</w:t>
      </w:r>
    </w:p>
    <w:tbl>
      <w:tblPr>
        <w:tblStyle w:val="5"/>
        <w:tblpPr w:leftFromText="180" w:rightFromText="180" w:vertAnchor="text" w:horzAnchor="page" w:tblpX="2035" w:tblpY="60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7"/>
        <w:gridCol w:w="4250"/>
        <w:gridCol w:w="30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1" w:hRule="atLeast"/>
        </w:trPr>
        <w:tc>
          <w:tcPr>
            <w:tcW w:w="1557" w:type="dxa"/>
            <w:vMerge w:val="restart"/>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kern w:val="0"/>
                <w:sz w:val="24"/>
              </w:rPr>
            </w:pPr>
            <w:r>
              <w:rPr>
                <w:rFonts w:hint="eastAsia" w:ascii="宋体" w:hAnsi="宋体" w:cs="宋体"/>
                <w:kern w:val="0"/>
                <w:sz w:val="24"/>
              </w:rPr>
              <w:t>费用名称</w:t>
            </w:r>
          </w:p>
        </w:tc>
        <w:tc>
          <w:tcPr>
            <w:tcW w:w="425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kern w:val="0"/>
                <w:sz w:val="24"/>
              </w:rPr>
            </w:pPr>
            <w:r>
              <w:rPr>
                <w:rFonts w:hint="eastAsia" w:ascii="宋体" w:hAnsi="宋体" w:cs="宋体"/>
                <w:kern w:val="0"/>
                <w:sz w:val="24"/>
              </w:rPr>
              <w:t>费率</w:t>
            </w:r>
            <w:r>
              <w:rPr>
                <w:rFonts w:ascii="宋体" w:hAnsi="宋体" w:cs="宋体"/>
                <w:kern w:val="0"/>
                <w:sz w:val="24"/>
              </w:rPr>
              <w:t>(%)</w:t>
            </w:r>
          </w:p>
        </w:tc>
        <w:tc>
          <w:tcPr>
            <w:tcW w:w="3008"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kern w:val="0"/>
                <w:sz w:val="24"/>
              </w:rPr>
            </w:pPr>
            <w:r>
              <w:rPr>
                <w:rFonts w:hint="eastAsia" w:ascii="宋体" w:hAnsi="宋体" w:cs="宋体"/>
                <w:kern w:val="0"/>
                <w:sz w:val="24"/>
              </w:rPr>
              <w:t>计算基础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atLeast"/>
        </w:trPr>
        <w:tc>
          <w:tcPr>
            <w:tcW w:w="1557" w:type="dxa"/>
            <w:vMerge w:val="continue"/>
            <w:tcBorders>
              <w:top w:val="single" w:color="auto" w:sz="4" w:space="0"/>
              <w:left w:val="single" w:color="auto" w:sz="4" w:space="0"/>
              <w:bottom w:val="single" w:color="auto" w:sz="4" w:space="0"/>
              <w:right w:val="single" w:color="auto" w:sz="4" w:space="0"/>
            </w:tcBorders>
            <w:vAlign w:val="center"/>
          </w:tcPr>
          <w:p>
            <w:pPr>
              <w:spacing w:line="240" w:lineRule="atLeast"/>
              <w:ind w:firstLine="720" w:firstLineChars="300"/>
              <w:jc w:val="center"/>
              <w:rPr>
                <w:rFonts w:ascii="宋体" w:hAnsi="宋体" w:cs="宋体"/>
                <w:kern w:val="0"/>
                <w:sz w:val="24"/>
              </w:rPr>
            </w:pPr>
          </w:p>
        </w:tc>
        <w:tc>
          <w:tcPr>
            <w:tcW w:w="425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ascii="宋体" w:hAnsi="宋体" w:eastAsia="宋体" w:cs="宋体"/>
                <w:kern w:val="0"/>
                <w:sz w:val="24"/>
                <w:lang w:eastAsia="zh-CN"/>
              </w:rPr>
            </w:pPr>
            <w:r>
              <w:rPr>
                <w:rFonts w:hint="eastAsia" w:ascii="宋体" w:hAnsi="宋体" w:cs="宋体"/>
                <w:kern w:val="0"/>
                <w:sz w:val="24"/>
                <w:lang w:val="en-US" w:eastAsia="zh-CN"/>
              </w:rPr>
              <w:t>修缮建筑</w:t>
            </w:r>
          </w:p>
        </w:tc>
        <w:tc>
          <w:tcPr>
            <w:tcW w:w="3008"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trPr>
        <w:tc>
          <w:tcPr>
            <w:tcW w:w="1557"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kern w:val="0"/>
                <w:sz w:val="24"/>
              </w:rPr>
            </w:pPr>
            <w:r>
              <w:rPr>
                <w:rFonts w:hint="eastAsia" w:ascii="宋体" w:hAnsi="宋体" w:cs="宋体"/>
                <w:kern w:val="0"/>
                <w:sz w:val="24"/>
              </w:rPr>
              <w:t>安全文明施工费</w:t>
            </w:r>
          </w:p>
        </w:tc>
        <w:tc>
          <w:tcPr>
            <w:tcW w:w="425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sz w:val="24"/>
                <w:lang w:val="en-US" w:eastAsia="zh-CN"/>
              </w:rPr>
            </w:pPr>
            <w:r>
              <w:rPr>
                <w:rFonts w:hint="eastAsia" w:ascii="宋体" w:hAnsi="宋体" w:cs="宋体"/>
                <w:sz w:val="24"/>
                <w:lang w:val="en-US" w:eastAsia="zh-CN"/>
              </w:rPr>
              <w:t>1.5</w:t>
            </w:r>
          </w:p>
        </w:tc>
        <w:tc>
          <w:tcPr>
            <w:tcW w:w="3008"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kern w:val="0"/>
                <w:sz w:val="24"/>
              </w:rPr>
            </w:pPr>
            <w:r>
              <w:rPr>
                <w:rFonts w:hint="eastAsia" w:ascii="宋体" w:hAnsi="宋体" w:cs="宋体"/>
                <w:kern w:val="0"/>
                <w:sz w:val="24"/>
              </w:rPr>
              <w:t>分部分项合计+单价措施项目合计-除税工程设备费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trPr>
        <w:tc>
          <w:tcPr>
            <w:tcW w:w="1557"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kern w:val="0"/>
                <w:sz w:val="24"/>
              </w:rPr>
            </w:pPr>
            <w:r>
              <w:rPr>
                <w:rFonts w:hint="eastAsia" w:ascii="宋体" w:hAnsi="宋体" w:cs="宋体"/>
                <w:kern w:val="0"/>
                <w:sz w:val="24"/>
              </w:rPr>
              <w:t>扬尘污染防治增加费</w:t>
            </w:r>
          </w:p>
        </w:tc>
        <w:tc>
          <w:tcPr>
            <w:tcW w:w="425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kern w:val="0"/>
                <w:sz w:val="24"/>
              </w:rPr>
            </w:pPr>
            <w:r>
              <w:rPr>
                <w:rFonts w:hint="eastAsia" w:ascii="宋体" w:hAnsi="宋体" w:cs="宋体"/>
                <w:kern w:val="0"/>
                <w:sz w:val="24"/>
              </w:rPr>
              <w:t>0.21</w:t>
            </w:r>
          </w:p>
        </w:tc>
        <w:tc>
          <w:tcPr>
            <w:tcW w:w="3008"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kern w:val="0"/>
                <w:sz w:val="24"/>
              </w:rPr>
            </w:pPr>
            <w:r>
              <w:rPr>
                <w:rFonts w:hint="eastAsia" w:ascii="宋体" w:hAnsi="宋体" w:cs="宋体"/>
                <w:kern w:val="0"/>
                <w:sz w:val="24"/>
              </w:rPr>
              <w:t>分部分项合计+单价措施项目合计-除税工程设备费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trPr>
        <w:tc>
          <w:tcPr>
            <w:tcW w:w="1557"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kern w:val="0"/>
                <w:sz w:val="24"/>
              </w:rPr>
            </w:pPr>
            <w:r>
              <w:rPr>
                <w:rFonts w:hint="eastAsia" w:ascii="宋体" w:hAnsi="宋体" w:cs="宋体"/>
                <w:kern w:val="0"/>
                <w:sz w:val="24"/>
              </w:rPr>
              <w:t>社会保险费</w:t>
            </w:r>
          </w:p>
        </w:tc>
        <w:tc>
          <w:tcPr>
            <w:tcW w:w="425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eastAsia" w:ascii="宋体" w:hAnsi="宋体" w:eastAsia="宋体" w:cs="宋体"/>
                <w:kern w:val="0"/>
                <w:sz w:val="24"/>
                <w:lang w:val="en-US" w:eastAsia="zh-CN"/>
              </w:rPr>
            </w:pPr>
            <w:r>
              <w:rPr>
                <w:rFonts w:hint="eastAsia" w:ascii="宋体" w:hAnsi="宋体" w:cs="宋体"/>
                <w:kern w:val="0"/>
                <w:sz w:val="24"/>
              </w:rPr>
              <w:t>3.</w:t>
            </w:r>
            <w:r>
              <w:rPr>
                <w:rFonts w:hint="eastAsia" w:ascii="宋体" w:hAnsi="宋体" w:cs="宋体"/>
                <w:kern w:val="0"/>
                <w:sz w:val="24"/>
                <w:lang w:val="en-US" w:eastAsia="zh-CN"/>
              </w:rPr>
              <w:t>8</w:t>
            </w:r>
          </w:p>
        </w:tc>
        <w:tc>
          <w:tcPr>
            <w:tcW w:w="3008" w:type="dxa"/>
            <w:vMerge w:val="restart"/>
            <w:tcBorders>
              <w:top w:val="single" w:color="auto" w:sz="4" w:space="0"/>
              <w:left w:val="single" w:color="auto" w:sz="4" w:space="0"/>
              <w:right w:val="single" w:color="auto" w:sz="4" w:space="0"/>
            </w:tcBorders>
            <w:vAlign w:val="center"/>
          </w:tcPr>
          <w:p>
            <w:pPr>
              <w:spacing w:line="240" w:lineRule="atLeast"/>
              <w:jc w:val="center"/>
              <w:rPr>
                <w:rFonts w:ascii="宋体" w:hAnsi="宋体" w:cs="宋体"/>
                <w:kern w:val="0"/>
                <w:sz w:val="24"/>
              </w:rPr>
            </w:pPr>
            <w:r>
              <w:rPr>
                <w:rFonts w:hint="eastAsia" w:ascii="宋体" w:hAnsi="宋体" w:cs="宋体"/>
                <w:kern w:val="0"/>
                <w:sz w:val="24"/>
              </w:rPr>
              <w:t>分部分项工程费+措施项目费+其他项目费-除税工程设备费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 w:hRule="atLeast"/>
        </w:trPr>
        <w:tc>
          <w:tcPr>
            <w:tcW w:w="1557"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kern w:val="0"/>
                <w:sz w:val="24"/>
              </w:rPr>
            </w:pPr>
            <w:r>
              <w:rPr>
                <w:rFonts w:hint="eastAsia" w:ascii="宋体" w:hAnsi="宋体" w:cs="宋体"/>
                <w:kern w:val="0"/>
                <w:sz w:val="24"/>
              </w:rPr>
              <w:t>住房公积金</w:t>
            </w:r>
          </w:p>
        </w:tc>
        <w:tc>
          <w:tcPr>
            <w:tcW w:w="425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hint="default" w:ascii="宋体" w:hAnsi="宋体" w:eastAsia="宋体" w:cs="宋体"/>
                <w:kern w:val="0"/>
                <w:sz w:val="24"/>
                <w:lang w:val="en-US" w:eastAsia="zh-CN"/>
              </w:rPr>
            </w:pPr>
            <w:r>
              <w:rPr>
                <w:rFonts w:hint="eastAsia" w:ascii="宋体" w:hAnsi="宋体" w:cs="宋体"/>
                <w:kern w:val="0"/>
                <w:sz w:val="24"/>
              </w:rPr>
              <w:t>0.</w:t>
            </w:r>
            <w:r>
              <w:rPr>
                <w:rFonts w:hint="eastAsia" w:ascii="宋体" w:hAnsi="宋体" w:cs="宋体"/>
                <w:kern w:val="0"/>
                <w:sz w:val="24"/>
                <w:lang w:val="en-US" w:eastAsia="zh-CN"/>
              </w:rPr>
              <w:t>67</w:t>
            </w:r>
          </w:p>
        </w:tc>
        <w:tc>
          <w:tcPr>
            <w:tcW w:w="3008" w:type="dxa"/>
            <w:vMerge w:val="continue"/>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557"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kern w:val="0"/>
                <w:sz w:val="24"/>
              </w:rPr>
            </w:pPr>
            <w:r>
              <w:rPr>
                <w:rFonts w:hint="eastAsia" w:ascii="宋体" w:hAnsi="宋体" w:cs="宋体"/>
                <w:kern w:val="0"/>
                <w:sz w:val="24"/>
              </w:rPr>
              <w:t>税</w:t>
            </w:r>
            <w:r>
              <w:rPr>
                <w:rFonts w:ascii="宋体" w:hAnsi="宋体" w:cs="宋体"/>
                <w:kern w:val="0"/>
                <w:sz w:val="24"/>
              </w:rPr>
              <w:t xml:space="preserve">  </w:t>
            </w:r>
            <w:r>
              <w:rPr>
                <w:rFonts w:hint="eastAsia" w:ascii="宋体" w:hAnsi="宋体" w:cs="宋体"/>
                <w:kern w:val="0"/>
                <w:sz w:val="24"/>
              </w:rPr>
              <w:t>金</w:t>
            </w:r>
          </w:p>
        </w:tc>
        <w:tc>
          <w:tcPr>
            <w:tcW w:w="425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kern w:val="0"/>
                <w:sz w:val="24"/>
              </w:rPr>
            </w:pPr>
            <w:r>
              <w:rPr>
                <w:rFonts w:hint="eastAsia" w:ascii="宋体" w:hAnsi="宋体" w:cs="宋体"/>
                <w:kern w:val="0"/>
                <w:sz w:val="24"/>
              </w:rPr>
              <w:t>9</w:t>
            </w:r>
          </w:p>
        </w:tc>
        <w:tc>
          <w:tcPr>
            <w:tcW w:w="3008"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宋体"/>
                <w:kern w:val="0"/>
                <w:sz w:val="24"/>
              </w:rPr>
            </w:pPr>
            <w:r>
              <w:rPr>
                <w:rFonts w:hint="eastAsia" w:ascii="宋体" w:hAnsi="宋体" w:cs="宋体"/>
                <w:kern w:val="0"/>
                <w:sz w:val="24"/>
              </w:rPr>
              <w:t>分部分项工程费</w:t>
            </w:r>
            <w:r>
              <w:rPr>
                <w:rFonts w:ascii="宋体" w:hAnsi="宋体" w:cs="宋体"/>
                <w:kern w:val="0"/>
                <w:sz w:val="24"/>
              </w:rPr>
              <w:t>+</w:t>
            </w:r>
            <w:r>
              <w:rPr>
                <w:rFonts w:hint="eastAsia" w:ascii="宋体" w:hAnsi="宋体" w:cs="宋体"/>
                <w:kern w:val="0"/>
                <w:sz w:val="24"/>
              </w:rPr>
              <w:t>措施项目费</w:t>
            </w:r>
            <w:r>
              <w:rPr>
                <w:rFonts w:ascii="宋体" w:hAnsi="宋体" w:cs="宋体"/>
                <w:kern w:val="0"/>
                <w:sz w:val="24"/>
              </w:rPr>
              <w:t>+</w:t>
            </w:r>
            <w:r>
              <w:rPr>
                <w:rFonts w:hint="eastAsia" w:ascii="宋体" w:hAnsi="宋体" w:cs="宋体"/>
                <w:kern w:val="0"/>
                <w:sz w:val="24"/>
              </w:rPr>
              <w:t>其他项目费</w:t>
            </w:r>
            <w:r>
              <w:rPr>
                <w:rFonts w:ascii="宋体" w:hAnsi="宋体" w:cs="宋体"/>
                <w:kern w:val="0"/>
                <w:sz w:val="24"/>
              </w:rPr>
              <w:t>+</w:t>
            </w:r>
            <w:r>
              <w:rPr>
                <w:rFonts w:hint="eastAsia" w:ascii="宋体" w:hAnsi="宋体" w:cs="宋体"/>
                <w:kern w:val="0"/>
                <w:sz w:val="24"/>
              </w:rPr>
              <w:t>规费</w:t>
            </w:r>
            <w:r>
              <w:rPr>
                <w:rFonts w:ascii="宋体" w:hAnsi="宋体" w:cs="宋体"/>
                <w:kern w:val="0"/>
                <w:sz w:val="24"/>
              </w:rPr>
              <w:t>-</w:t>
            </w:r>
            <w:r>
              <w:rPr>
                <w:rFonts w:hint="eastAsia" w:ascii="宋体" w:hAnsi="宋体" w:cs="宋体"/>
                <w:kern w:val="0"/>
                <w:sz w:val="24"/>
              </w:rPr>
              <w:t>除税甲供材料和甲供设备费</w:t>
            </w:r>
            <w:r>
              <w:rPr>
                <w:rFonts w:ascii="宋体" w:hAnsi="宋体" w:cs="宋体"/>
                <w:kern w:val="0"/>
                <w:sz w:val="24"/>
              </w:rPr>
              <w:t>/1.01</w:t>
            </w:r>
          </w:p>
        </w:tc>
      </w:tr>
    </w:tbl>
    <w:p>
      <w:pPr>
        <w:adjustRightInd w:val="0"/>
        <w:snapToGrid w:val="0"/>
        <w:spacing w:line="480" w:lineRule="auto"/>
        <w:ind w:right="1399"/>
        <w:jc w:val="left"/>
        <w:rPr>
          <w:rFonts w:hint="default" w:ascii="宋体" w:hAnsi="宋体" w:eastAsia="宋体" w:cs="宋体"/>
          <w:kern w:val="0"/>
          <w:sz w:val="24"/>
          <w:lang w:val="en-US" w:eastAsia="zh-CN"/>
        </w:rPr>
      </w:pPr>
      <w:r>
        <w:rPr>
          <w:rFonts w:hint="eastAsia" w:ascii="宋体" w:hAnsi="宋体" w:cs="宋体"/>
          <w:kern w:val="0"/>
          <w:sz w:val="24"/>
          <w:lang w:val="en-US" w:eastAsia="zh-CN"/>
        </w:rPr>
        <w:t>本工程预留金4000元，</w:t>
      </w:r>
      <w:bookmarkStart w:id="0" w:name="_GoBack"/>
      <w:r>
        <w:rPr>
          <w:rFonts w:hint="eastAsia" w:ascii="宋体" w:hAnsi="宋体" w:cs="宋体"/>
          <w:kern w:val="0"/>
          <w:sz w:val="24"/>
          <w:lang w:val="en-US" w:eastAsia="zh-CN"/>
        </w:rPr>
        <w:t>计入其他项目暂列金额中</w:t>
      </w:r>
      <w:bookmarkEnd w:id="0"/>
      <w:r>
        <w:rPr>
          <w:rFonts w:hint="eastAsia" w:ascii="宋体" w:hAnsi="宋体" w:cs="宋体"/>
          <w:kern w:val="0"/>
          <w:sz w:val="24"/>
          <w:lang w:val="en-US" w:eastAsia="zh-CN"/>
        </w:rPr>
        <w:t>；</w:t>
      </w:r>
    </w:p>
    <w:p>
      <w:pPr>
        <w:adjustRightInd w:val="0"/>
        <w:snapToGrid w:val="0"/>
        <w:spacing w:line="480" w:lineRule="auto"/>
        <w:ind w:left="420" w:leftChars="200" w:right="1399" w:firstLine="4800" w:firstLineChars="2000"/>
        <w:rPr>
          <w:rFonts w:ascii="宋体" w:hAnsi="宋体" w:cs="宋体"/>
          <w:kern w:val="0"/>
          <w:sz w:val="24"/>
        </w:rPr>
      </w:pPr>
    </w:p>
    <w:p>
      <w:pPr>
        <w:adjustRightInd w:val="0"/>
        <w:snapToGrid w:val="0"/>
        <w:spacing w:line="480" w:lineRule="auto"/>
        <w:ind w:right="-150" w:firstLine="2640" w:firstLineChars="1100"/>
        <w:jc w:val="center"/>
        <w:rPr>
          <w:rFonts w:hint="eastAsia" w:ascii="宋体" w:hAnsi="宋体" w:cs="宋体"/>
          <w:kern w:val="0"/>
          <w:sz w:val="24"/>
        </w:rPr>
      </w:pPr>
      <w:r>
        <w:rPr>
          <w:rFonts w:hint="eastAsia" w:ascii="宋体" w:hAnsi="宋体" w:cs="宋体"/>
          <w:kern w:val="0"/>
          <w:sz w:val="24"/>
        </w:rPr>
        <w:t xml:space="preserve">      </w:t>
      </w:r>
    </w:p>
    <w:p>
      <w:pPr>
        <w:adjustRightInd w:val="0"/>
        <w:snapToGrid w:val="0"/>
        <w:spacing w:line="480" w:lineRule="auto"/>
        <w:ind w:right="-150" w:firstLine="2640" w:firstLineChars="1100"/>
        <w:jc w:val="center"/>
        <w:rPr>
          <w:rFonts w:ascii="宋体" w:hAnsi="宋体" w:cs="宋体"/>
          <w:kern w:val="0"/>
          <w:sz w:val="24"/>
        </w:rPr>
      </w:pPr>
      <w:r>
        <w:rPr>
          <w:rFonts w:hint="eastAsia" w:ascii="宋体" w:hAnsi="宋体" w:cs="宋体"/>
          <w:kern w:val="0"/>
          <w:sz w:val="24"/>
        </w:rPr>
        <w:t xml:space="preserve">         </w:t>
      </w:r>
    </w:p>
    <w:p>
      <w:pPr>
        <w:adjustRightInd w:val="0"/>
        <w:snapToGrid w:val="0"/>
        <w:spacing w:line="480" w:lineRule="auto"/>
        <w:ind w:right="-150" w:firstLine="2640" w:firstLineChars="1100"/>
        <w:jc w:val="right"/>
        <w:rPr>
          <w:rFonts w:ascii="宋体" w:hAnsi="宋体" w:cs="宋体"/>
          <w:kern w:val="0"/>
          <w:sz w:val="24"/>
        </w:rPr>
      </w:pPr>
      <w:r>
        <w:rPr>
          <w:rFonts w:hint="eastAsia" w:ascii="宋体" w:hAnsi="宋体" w:cs="宋体"/>
          <w:kern w:val="0"/>
          <w:sz w:val="24"/>
        </w:rPr>
        <w:t xml:space="preserve">江苏伟业项目管理有限公司   </w:t>
      </w:r>
    </w:p>
    <w:p>
      <w:pPr>
        <w:spacing w:line="360" w:lineRule="auto"/>
        <w:jc w:val="right"/>
        <w:rPr>
          <w:b/>
          <w:sz w:val="24"/>
        </w:rPr>
      </w:pPr>
      <w:r>
        <w:rPr>
          <w:rFonts w:hint="eastAsia" w:ascii="宋体" w:hAnsi="宋体" w:cs="宋体"/>
          <w:kern w:val="0"/>
          <w:sz w:val="24"/>
        </w:rPr>
        <w:t>2021年</w:t>
      </w:r>
      <w:r>
        <w:rPr>
          <w:rFonts w:hint="eastAsia" w:ascii="宋体" w:hAnsi="宋体" w:cs="宋体"/>
          <w:kern w:val="0"/>
          <w:sz w:val="24"/>
          <w:lang w:val="en-US" w:eastAsia="zh-CN"/>
        </w:rPr>
        <w:t>05</w:t>
      </w:r>
      <w:r>
        <w:rPr>
          <w:rFonts w:hint="eastAsia" w:ascii="宋体" w:hAnsi="宋体" w:cs="宋体"/>
          <w:kern w:val="0"/>
          <w:sz w:val="24"/>
        </w:rPr>
        <w:t>月</w:t>
      </w:r>
      <w:r>
        <w:rPr>
          <w:rFonts w:hint="eastAsia" w:ascii="宋体" w:hAnsi="宋体" w:cs="宋体"/>
          <w:kern w:val="0"/>
          <w:sz w:val="24"/>
          <w:lang w:val="en-US" w:eastAsia="zh-CN"/>
        </w:rPr>
        <w:t>06</w:t>
      </w:r>
      <w:r>
        <w:rPr>
          <w:rFonts w:hint="eastAsia" w:ascii="宋体" w:hAnsi="宋体" w:cs="宋体"/>
          <w:kern w:val="0"/>
          <w:sz w:val="24"/>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70C761"/>
    <w:multiLevelType w:val="singleLevel"/>
    <w:tmpl w:val="5770C761"/>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333"/>
    <w:rsid w:val="00087CB9"/>
    <w:rsid w:val="00383A7C"/>
    <w:rsid w:val="00390333"/>
    <w:rsid w:val="008F4C09"/>
    <w:rsid w:val="00932B2D"/>
    <w:rsid w:val="00EB37A3"/>
    <w:rsid w:val="00F61673"/>
    <w:rsid w:val="00F95388"/>
    <w:rsid w:val="034C593D"/>
    <w:rsid w:val="06074301"/>
    <w:rsid w:val="065E6AE6"/>
    <w:rsid w:val="070707A6"/>
    <w:rsid w:val="0A945058"/>
    <w:rsid w:val="12E672D7"/>
    <w:rsid w:val="1FC320B4"/>
    <w:rsid w:val="24FC2F41"/>
    <w:rsid w:val="25714CE4"/>
    <w:rsid w:val="2D1D1B19"/>
    <w:rsid w:val="2D45337A"/>
    <w:rsid w:val="2FFA2773"/>
    <w:rsid w:val="306E2ECB"/>
    <w:rsid w:val="3CDD0181"/>
    <w:rsid w:val="481F6D11"/>
    <w:rsid w:val="4D8D2C85"/>
    <w:rsid w:val="55141025"/>
    <w:rsid w:val="6F152791"/>
    <w:rsid w:val="77AF0A93"/>
    <w:rsid w:val="79A106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spacing w:beforeAutospacing="1" w:afterAutospacing="1"/>
      <w:jc w:val="left"/>
    </w:pPr>
    <w:rPr>
      <w:kern w:val="0"/>
      <w:sz w:val="24"/>
    </w:rPr>
  </w:style>
  <w:style w:type="character" w:customStyle="1" w:styleId="7">
    <w:name w:val="页眉 字符"/>
    <w:basedOn w:val="6"/>
    <w:link w:val="3"/>
    <w:qFormat/>
    <w:uiPriority w:val="0"/>
    <w:rPr>
      <w:rFonts w:ascii="Calibri" w:hAnsi="Calibri"/>
      <w:kern w:val="2"/>
      <w:sz w:val="18"/>
      <w:szCs w:val="18"/>
    </w:rPr>
  </w:style>
  <w:style w:type="character" w:customStyle="1" w:styleId="8">
    <w:name w:val="页脚 字符"/>
    <w:basedOn w:val="6"/>
    <w:link w:val="2"/>
    <w:qFormat/>
    <w:uiPriority w:val="0"/>
    <w:rPr>
      <w:rFonts w:ascii="Calibri" w:hAnsi="Calibri"/>
      <w:kern w:val="2"/>
      <w:sz w:val="18"/>
      <w:szCs w:val="18"/>
    </w:rPr>
  </w:style>
  <w:style w:type="character" w:customStyle="1" w:styleId="9">
    <w:name w:val="font11"/>
    <w:basedOn w:val="6"/>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160</Words>
  <Characters>914</Characters>
  <Lines>7</Lines>
  <Paragraphs>2</Paragraphs>
  <TotalTime>5</TotalTime>
  <ScaleCrop>false</ScaleCrop>
  <LinksUpToDate>false</LinksUpToDate>
  <CharactersWithSpaces>1072</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2021-01-28T11:35:00Z</dcterms:created>
  <dc:creator>Administrator</dc:creator>
  <cp:lastModifiedBy>Administrator</cp:lastModifiedBy>
  <cp:lastPrinted>2021-01-28T12:22:00Z</cp:lastPrinted>
  <dcterms:modified xsi:type="dcterms:W3CDTF">2021-06-11T08:57:39Z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1AF05005275A44BCAAF6817AC718EDF9</vt:lpwstr>
  </property>
</Properties>
</file>