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44"/>
          <w:szCs w:val="44"/>
        </w:rPr>
      </w:pPr>
      <w:r>
        <w:rPr>
          <w:rFonts w:hint="eastAsia" w:ascii="宋体" w:hAnsi="宋体" w:cs="宋体"/>
          <w:b/>
          <w:sz w:val="44"/>
          <w:szCs w:val="44"/>
        </w:rPr>
        <w:t>总 说 明</w:t>
      </w:r>
    </w:p>
    <w:p>
      <w:pPr>
        <w:rPr>
          <w:rFonts w:ascii="宋体" w:hAnsi="宋体" w:cs="宋体"/>
          <w:b/>
          <w:sz w:val="28"/>
          <w:szCs w:val="28"/>
        </w:rPr>
      </w:pPr>
      <w:r>
        <w:rPr>
          <w:rFonts w:hint="eastAsia" w:ascii="宋体" w:hAnsi="宋体" w:cs="宋体"/>
          <w:b/>
          <w:sz w:val="28"/>
          <w:szCs w:val="28"/>
        </w:rPr>
        <w:t>工程名称：启东市农商银行大厦景观中庭装饰工程</w:t>
      </w:r>
    </w:p>
    <w:tbl>
      <w:tblPr>
        <w:tblStyle w:val="7"/>
        <w:tblW w:w="9679" w:type="dxa"/>
        <w:tblInd w:w="-102" w:type="dxa"/>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
      <w:tblGrid>
        <w:gridCol w:w="9679"/>
      </w:tblGrid>
      <w:tr>
        <w:tblPrEx>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CellMar>
            <w:top w:w="0" w:type="dxa"/>
            <w:left w:w="108" w:type="dxa"/>
            <w:bottom w:w="0" w:type="dxa"/>
            <w:right w:w="108" w:type="dxa"/>
          </w:tblCellMar>
        </w:tblPrEx>
        <w:trPr>
          <w:trHeight w:val="11115" w:hRule="atLeast"/>
        </w:trPr>
        <w:tc>
          <w:tcPr>
            <w:tcW w:w="9679" w:type="dxa"/>
            <w:tcBorders>
              <w:top w:val="single" w:color="auto" w:sz="8" w:space="0"/>
              <w:left w:val="single" w:color="auto" w:sz="8" w:space="0"/>
              <w:bottom w:val="single" w:color="auto" w:sz="8" w:space="0"/>
              <w:right w:val="single" w:color="auto" w:sz="8" w:space="0"/>
            </w:tcBorders>
          </w:tcPr>
          <w:p>
            <w:pPr>
              <w:numPr>
                <w:ilvl w:val="0"/>
                <w:numId w:val="1"/>
              </w:numPr>
              <w:spacing w:line="540" w:lineRule="exact"/>
              <w:rPr>
                <w:rFonts w:ascii="宋体" w:hAnsi="宋体" w:cs="宋体"/>
                <w:b/>
                <w:bCs/>
                <w:sz w:val="24"/>
              </w:rPr>
            </w:pPr>
            <w:r>
              <w:rPr>
                <w:rFonts w:hint="eastAsia" w:ascii="宋体" w:hAnsi="宋体" w:cs="宋体"/>
                <w:b/>
                <w:bCs/>
                <w:sz w:val="24"/>
              </w:rPr>
              <w:t>工程概况：</w:t>
            </w:r>
          </w:p>
          <w:p>
            <w:pPr>
              <w:spacing w:line="540" w:lineRule="exact"/>
              <w:ind w:firstLine="480" w:firstLineChars="200"/>
              <w:rPr>
                <w:rFonts w:hint="default" w:ascii="宋体" w:hAnsi="宋体" w:cs="宋体"/>
                <w:color w:val="000000"/>
                <w:kern w:val="0"/>
                <w:sz w:val="24"/>
                <w:lang w:val="en-US"/>
              </w:rPr>
            </w:pPr>
            <w:r>
              <w:rPr>
                <w:rFonts w:hint="eastAsia" w:ascii="宋体" w:hAnsi="宋体" w:cs="宋体"/>
                <w:color w:val="000000"/>
                <w:kern w:val="0"/>
                <w:sz w:val="24"/>
              </w:rPr>
              <w:t>本工程包括</w:t>
            </w:r>
            <w:r>
              <w:rPr>
                <w:rFonts w:hint="eastAsia" w:ascii="宋体" w:hAnsi="宋体" w:cs="宋体"/>
                <w:color w:val="000000"/>
                <w:kern w:val="0"/>
                <w:sz w:val="24"/>
                <w:lang w:val="en-US" w:eastAsia="zh-CN"/>
              </w:rPr>
              <w:t>一层景观中庭，六层、九层、十三层、十七层东西两侧景观中庭，共九个景观中庭。</w:t>
            </w:r>
          </w:p>
          <w:p>
            <w:pPr>
              <w:spacing w:line="540" w:lineRule="exact"/>
              <w:ind w:firstLine="482" w:firstLineChars="200"/>
              <w:rPr>
                <w:rFonts w:ascii="宋体" w:hAnsi="宋体" w:cs="宋体"/>
                <w:b/>
                <w:bCs/>
                <w:sz w:val="24"/>
              </w:rPr>
            </w:pPr>
            <w:r>
              <w:rPr>
                <w:rFonts w:hint="eastAsia" w:ascii="宋体" w:hAnsi="宋体" w:cs="宋体"/>
                <w:b/>
                <w:bCs/>
                <w:sz w:val="24"/>
              </w:rPr>
              <w:t xml:space="preserve"> 二、招标范围：</w:t>
            </w:r>
          </w:p>
          <w:p>
            <w:pPr>
              <w:spacing w:line="540" w:lineRule="exact"/>
              <w:ind w:firstLine="480" w:firstLineChars="200"/>
              <w:rPr>
                <w:rFonts w:ascii="宋体" w:hAnsi="宋体" w:cs="宋体"/>
                <w:kern w:val="0"/>
                <w:sz w:val="24"/>
              </w:rPr>
            </w:pPr>
            <w:r>
              <w:rPr>
                <w:rFonts w:hint="eastAsia" w:ascii="宋体" w:hAnsi="宋体" w:cs="宋体"/>
                <w:kern w:val="0"/>
                <w:sz w:val="24"/>
              </w:rPr>
              <w:t>启东农商银行大厦室内</w:t>
            </w:r>
            <w:r>
              <w:rPr>
                <w:rFonts w:hint="eastAsia" w:ascii="宋体" w:hAnsi="宋体" w:cs="宋体"/>
                <w:kern w:val="0"/>
                <w:sz w:val="24"/>
                <w:lang w:val="en-US" w:eastAsia="zh-CN"/>
              </w:rPr>
              <w:t>景观中庭</w:t>
            </w:r>
            <w:r>
              <w:rPr>
                <w:rFonts w:hint="eastAsia" w:ascii="宋体" w:hAnsi="宋体" w:cs="宋体"/>
                <w:kern w:val="0"/>
                <w:sz w:val="24"/>
              </w:rPr>
              <w:t>装饰工程，包括</w:t>
            </w:r>
            <w:r>
              <w:rPr>
                <w:rFonts w:hint="eastAsia" w:ascii="宋体" w:hAnsi="宋体" w:cs="宋体"/>
                <w:color w:val="000000"/>
                <w:kern w:val="0"/>
                <w:sz w:val="24"/>
                <w:lang w:val="en-US" w:eastAsia="zh-CN"/>
              </w:rPr>
              <w:t>一层景观中庭，六层、九层、十三层、十七层东西两侧景观中庭，共九个景观中庭</w:t>
            </w:r>
            <w:r>
              <w:rPr>
                <w:rFonts w:hint="eastAsia" w:ascii="宋体" w:hAnsi="宋体" w:cs="宋体"/>
                <w:kern w:val="0"/>
                <w:sz w:val="24"/>
              </w:rPr>
              <w:t>，具体详见施工图及招标《工程量清单》。</w:t>
            </w:r>
          </w:p>
          <w:p>
            <w:pPr>
              <w:spacing w:line="540" w:lineRule="exact"/>
              <w:ind w:firstLine="480" w:firstLineChars="200"/>
              <w:rPr>
                <w:rFonts w:ascii="宋体" w:hAnsi="宋体" w:cs="宋体"/>
                <w:kern w:val="0"/>
                <w:sz w:val="24"/>
                <w:highlight w:val="yellow"/>
              </w:rPr>
            </w:pPr>
            <w:r>
              <w:rPr>
                <w:rFonts w:hint="eastAsia" w:ascii="宋体" w:hAnsi="宋体" w:cs="宋体"/>
                <w:kern w:val="0"/>
                <w:sz w:val="24"/>
                <w:highlight w:val="yellow"/>
                <w:lang w:val="en-US" w:eastAsia="zh-CN"/>
              </w:rPr>
              <w:t>绿植、</w:t>
            </w:r>
            <w:r>
              <w:rPr>
                <w:rFonts w:hint="eastAsia" w:ascii="宋体" w:hAnsi="宋体" w:cs="宋体"/>
                <w:kern w:val="0"/>
                <w:sz w:val="24"/>
                <w:highlight w:val="yellow"/>
              </w:rPr>
              <w:t>活动家具</w:t>
            </w:r>
            <w:r>
              <w:rPr>
                <w:rFonts w:hint="eastAsia" w:ascii="宋体" w:hAnsi="宋体" w:cs="宋体"/>
                <w:kern w:val="0"/>
                <w:sz w:val="24"/>
                <w:highlight w:val="yellow"/>
                <w:lang w:val="en-US" w:eastAsia="zh-CN"/>
              </w:rPr>
              <w:t>等</w:t>
            </w:r>
            <w:r>
              <w:rPr>
                <w:rFonts w:hint="eastAsia" w:ascii="宋体" w:hAnsi="宋体" w:cs="宋体"/>
                <w:kern w:val="0"/>
                <w:sz w:val="24"/>
                <w:highlight w:val="yellow"/>
              </w:rPr>
              <w:t>不在本次</w:t>
            </w:r>
            <w:r>
              <w:rPr>
                <w:rFonts w:hint="eastAsia" w:ascii="宋体" w:hAnsi="宋体" w:cs="宋体"/>
                <w:kern w:val="0"/>
                <w:sz w:val="24"/>
                <w:highlight w:val="yellow"/>
                <w:lang w:val="en-US" w:eastAsia="zh-CN"/>
              </w:rPr>
              <w:t>标底中</w:t>
            </w:r>
            <w:r>
              <w:rPr>
                <w:rFonts w:hint="eastAsia" w:ascii="宋体" w:hAnsi="宋体" w:cs="宋体"/>
                <w:kern w:val="0"/>
                <w:sz w:val="24"/>
                <w:highlight w:val="yellow"/>
              </w:rPr>
              <w:t>。</w:t>
            </w:r>
          </w:p>
          <w:p>
            <w:pPr>
              <w:spacing w:line="540" w:lineRule="exact"/>
              <w:ind w:firstLine="482" w:firstLineChars="200"/>
              <w:rPr>
                <w:rFonts w:ascii="宋体" w:hAnsi="宋体" w:cs="宋体"/>
                <w:b/>
                <w:bCs/>
                <w:sz w:val="24"/>
              </w:rPr>
            </w:pPr>
            <w:r>
              <w:rPr>
                <w:rFonts w:hint="eastAsia" w:ascii="宋体" w:hAnsi="宋体" w:cs="宋体"/>
                <w:b/>
                <w:bCs/>
                <w:sz w:val="24"/>
              </w:rPr>
              <w:t xml:space="preserve"> 三、工程量清单编制依据：</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《建设工程工程量清单计价规范》GB50500-2013；</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《房屋建筑与装饰工程工程量计算规范》GB50854-2013；</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《通用安装工程工程量计算规范》GB50856-2013；</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业主提供的施工图纸、设计变更单、编标答疑等；</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《江苏省建筑与装饰工程计价定额》（2014年）；</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《江苏省安装工程计价定额》（2014）；</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《江苏省建设工程费用定额》（2014年）；</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《启东市建设工程造价信息》（202</w:t>
            </w:r>
            <w:r>
              <w:rPr>
                <w:rFonts w:hint="eastAsia" w:ascii="宋体" w:hAnsi="宋体" w:cs="宋体"/>
                <w:sz w:val="24"/>
                <w:lang w:val="en-US" w:eastAsia="zh-CN"/>
              </w:rPr>
              <w:t>2</w:t>
            </w:r>
            <w:r>
              <w:rPr>
                <w:rFonts w:hint="eastAsia" w:ascii="宋体" w:hAnsi="宋体" w:cs="宋体"/>
                <w:sz w:val="24"/>
              </w:rPr>
              <w:t>）第</w:t>
            </w:r>
            <w:r>
              <w:rPr>
                <w:rFonts w:hint="eastAsia" w:ascii="宋体" w:hAnsi="宋体" w:cs="宋体"/>
                <w:sz w:val="24"/>
                <w:lang w:val="en-US" w:eastAsia="zh-CN"/>
              </w:rPr>
              <w:t>4</w:t>
            </w:r>
            <w:r>
              <w:rPr>
                <w:rFonts w:hint="eastAsia" w:ascii="宋体" w:hAnsi="宋体" w:cs="宋体"/>
                <w:sz w:val="24"/>
              </w:rPr>
              <w:t>期、《南通市建设工程造价信息》（202</w:t>
            </w:r>
            <w:r>
              <w:rPr>
                <w:rFonts w:hint="eastAsia" w:ascii="宋体" w:hAnsi="宋体" w:cs="宋体"/>
                <w:sz w:val="24"/>
                <w:lang w:val="en-US" w:eastAsia="zh-CN"/>
              </w:rPr>
              <w:t>2</w:t>
            </w:r>
            <w:r>
              <w:rPr>
                <w:rFonts w:hint="eastAsia" w:ascii="宋体" w:hAnsi="宋体" w:cs="宋体"/>
                <w:sz w:val="24"/>
              </w:rPr>
              <w:t>）第</w:t>
            </w:r>
            <w:r>
              <w:rPr>
                <w:rFonts w:hint="eastAsia" w:ascii="宋体" w:hAnsi="宋体" w:cs="宋体"/>
                <w:sz w:val="24"/>
                <w:lang w:val="en-US" w:eastAsia="zh-CN"/>
              </w:rPr>
              <w:t>7</w:t>
            </w:r>
            <w:r>
              <w:rPr>
                <w:rFonts w:hint="eastAsia" w:ascii="宋体" w:hAnsi="宋体" w:cs="宋体"/>
                <w:sz w:val="24"/>
              </w:rPr>
              <w:t>期、市场询价；</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kern w:val="0"/>
                <w:sz w:val="24"/>
              </w:rPr>
              <w:t>《省住房城乡建设厅关于发布建设工程人工工资指导价的通知》（苏建函价[202</w:t>
            </w:r>
            <w:r>
              <w:rPr>
                <w:rFonts w:hint="eastAsia" w:ascii="宋体" w:hAnsi="宋体" w:cs="宋体"/>
                <w:kern w:val="0"/>
                <w:sz w:val="24"/>
                <w:lang w:val="en-US" w:eastAsia="zh-CN"/>
              </w:rPr>
              <w:t>2</w:t>
            </w:r>
            <w:r>
              <w:rPr>
                <w:rFonts w:hint="eastAsia" w:ascii="宋体" w:hAnsi="宋体" w:cs="宋体"/>
                <w:kern w:val="0"/>
                <w:sz w:val="24"/>
              </w:rPr>
              <w:t>]</w:t>
            </w:r>
            <w:r>
              <w:rPr>
                <w:rFonts w:hint="eastAsia" w:ascii="宋体" w:hAnsi="宋体" w:cs="宋体"/>
                <w:kern w:val="0"/>
                <w:sz w:val="24"/>
                <w:lang w:val="en-US" w:eastAsia="zh-CN"/>
              </w:rPr>
              <w:t>62</w:t>
            </w:r>
            <w:r>
              <w:rPr>
                <w:rFonts w:hint="eastAsia" w:ascii="宋体" w:hAnsi="宋体" w:cs="宋体"/>
                <w:kern w:val="0"/>
                <w:sz w:val="24"/>
              </w:rPr>
              <w:t>号）；</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sz w:val="24"/>
              </w:rPr>
              <w:t>现行的有关工程造价文件；</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kern w:val="0"/>
                <w:sz w:val="24"/>
              </w:rPr>
              <w:t>苏建函价[2019]178号“省住房城乡建设厅关于调整建设工程计价增值税税率的通知”等现行工程造价文件规定；</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kern w:val="0"/>
                <w:sz w:val="24"/>
              </w:rPr>
              <w:t>江苏省住建厅关于调整建设工程按质论价等费用计取方法的公告〔2018〕第24号；</w:t>
            </w:r>
          </w:p>
          <w:p>
            <w:pPr>
              <w:numPr>
                <w:ilvl w:val="0"/>
                <w:numId w:val="2"/>
              </w:numPr>
              <w:tabs>
                <w:tab w:val="left" w:pos="1152"/>
              </w:tabs>
              <w:spacing w:line="540" w:lineRule="exact"/>
              <w:ind w:firstLine="425"/>
              <w:rPr>
                <w:rFonts w:ascii="宋体" w:hAnsi="宋体" w:cs="宋体"/>
                <w:sz w:val="24"/>
              </w:rPr>
            </w:pPr>
            <w:r>
              <w:rPr>
                <w:rFonts w:hint="eastAsia" w:ascii="宋体" w:hAnsi="宋体" w:cs="宋体"/>
                <w:kern w:val="0"/>
                <w:sz w:val="24"/>
              </w:rPr>
              <w:t>关于明确南通市建设工程环境保护税计价问题的通知，通建价〔2019〕20号；</w:t>
            </w:r>
          </w:p>
          <w:p>
            <w:pPr>
              <w:numPr>
                <w:ilvl w:val="0"/>
                <w:numId w:val="2"/>
              </w:numPr>
              <w:tabs>
                <w:tab w:val="left" w:pos="1152"/>
              </w:tabs>
              <w:spacing w:line="540" w:lineRule="exact"/>
              <w:ind w:firstLine="425"/>
              <w:rPr>
                <w:rFonts w:ascii="宋体" w:hAnsi="宋体" w:cs="宋体"/>
                <w:sz w:val="24"/>
              </w:rPr>
            </w:pPr>
            <w:r>
              <w:rPr>
                <w:rFonts w:hint="eastAsia" w:ascii="宋体" w:hAnsi="宋体"/>
                <w:sz w:val="24"/>
              </w:rPr>
              <w:t>《建筑业实施营改增后江苏省建设工程计价依据调整的通知》（苏建价【2016】154号）；</w:t>
            </w:r>
          </w:p>
          <w:p>
            <w:pPr>
              <w:numPr>
                <w:ilvl w:val="0"/>
                <w:numId w:val="2"/>
              </w:numPr>
              <w:tabs>
                <w:tab w:val="left" w:pos="1152"/>
              </w:tabs>
              <w:spacing w:line="540" w:lineRule="exact"/>
              <w:ind w:firstLine="425"/>
              <w:rPr>
                <w:rFonts w:ascii="宋体" w:hAnsi="宋体" w:cs="宋体"/>
                <w:sz w:val="24"/>
                <w:highlight w:val="none"/>
              </w:rPr>
            </w:pPr>
            <w:r>
              <w:rPr>
                <w:rFonts w:hint="eastAsia" w:ascii="宋体" w:hAnsi="宋体" w:cs="宋体"/>
                <w:sz w:val="24"/>
                <w:highlight w:val="none"/>
              </w:rPr>
              <w:t>通建价【2021】48号（疫情常态化防控补充措施项目清单）。</w:t>
            </w:r>
          </w:p>
          <w:p>
            <w:pPr>
              <w:numPr>
                <w:ilvl w:val="0"/>
                <w:numId w:val="3"/>
              </w:numPr>
              <w:spacing w:line="540" w:lineRule="exact"/>
              <w:rPr>
                <w:rFonts w:ascii="宋体" w:hAnsi="宋体" w:cs="宋体"/>
                <w:b/>
                <w:bCs/>
                <w:sz w:val="24"/>
              </w:rPr>
            </w:pPr>
            <w:r>
              <w:rPr>
                <w:rFonts w:hint="eastAsia" w:ascii="宋体" w:hAnsi="宋体" w:cs="宋体"/>
                <w:b/>
                <w:bCs/>
                <w:sz w:val="24"/>
              </w:rPr>
              <w:t>有关说明：</w:t>
            </w:r>
          </w:p>
          <w:p>
            <w:pPr>
              <w:numPr>
                <w:ilvl w:val="0"/>
                <w:numId w:val="4"/>
              </w:numPr>
              <w:spacing w:line="360" w:lineRule="auto"/>
              <w:ind w:firstLine="480"/>
              <w:jc w:val="left"/>
              <w:rPr>
                <w:rFonts w:ascii="宋体" w:hAnsi="宋体" w:cs="宋体"/>
                <w:sz w:val="24"/>
              </w:rPr>
            </w:pPr>
            <w:r>
              <w:rPr>
                <w:rFonts w:hint="eastAsia" w:ascii="宋体" w:hAnsi="宋体" w:cs="宋体"/>
                <w:sz w:val="24"/>
              </w:rPr>
              <w:t>石材出厂时应进行六面防污防护、防潮</w:t>
            </w:r>
            <w:r>
              <w:rPr>
                <w:rFonts w:hint="eastAsia" w:ascii="宋体" w:hAnsi="宋体" w:cs="宋体"/>
                <w:sz w:val="24"/>
                <w:highlight w:val="none"/>
              </w:rPr>
              <w:t>、防碱、背网等为</w:t>
            </w:r>
            <w:r>
              <w:rPr>
                <w:rFonts w:hint="eastAsia" w:ascii="宋体" w:hAnsi="宋体" w:cs="宋体"/>
                <w:sz w:val="24"/>
              </w:rPr>
              <w:t>工程需要的处理，投标人自行在综合单价中考虑。</w:t>
            </w:r>
          </w:p>
          <w:p>
            <w:pPr>
              <w:numPr>
                <w:ilvl w:val="0"/>
                <w:numId w:val="4"/>
              </w:numPr>
              <w:spacing w:line="360" w:lineRule="auto"/>
              <w:ind w:firstLine="480"/>
              <w:jc w:val="left"/>
              <w:rPr>
                <w:rFonts w:ascii="宋体" w:hAnsi="宋体" w:cs="宋体"/>
                <w:sz w:val="24"/>
              </w:rPr>
            </w:pPr>
            <w:r>
              <w:rPr>
                <w:rFonts w:hint="eastAsia" w:ascii="宋体" w:hAnsi="宋体" w:cs="宋体"/>
                <w:sz w:val="24"/>
              </w:rPr>
              <w:t>所有装饰面均应考虑成品保护费用，不在清单特征中做重点描述，但投标人需考虑此项费用，列入综合单价。</w:t>
            </w:r>
          </w:p>
          <w:p>
            <w:pPr>
              <w:numPr>
                <w:ilvl w:val="0"/>
                <w:numId w:val="4"/>
              </w:numPr>
              <w:spacing w:line="360" w:lineRule="auto"/>
              <w:ind w:firstLine="480"/>
              <w:jc w:val="left"/>
              <w:rPr>
                <w:rFonts w:ascii="宋体" w:hAnsi="宋体" w:cs="宋体"/>
                <w:sz w:val="24"/>
              </w:rPr>
            </w:pPr>
            <w:r>
              <w:rPr>
                <w:rFonts w:hint="eastAsia" w:ascii="宋体" w:hAnsi="宋体" w:cs="宋体"/>
                <w:sz w:val="24"/>
              </w:rPr>
              <w:t>所有块料倒边、倒角、开槽、圆边、圆角、凸线、凹槽等各类线条均不单独计量也不在清单里描述，投标人需按细部节点，自行在综合单价中考虑，全部列入相应清单项目的综合单价中。</w:t>
            </w:r>
          </w:p>
          <w:p>
            <w:pPr>
              <w:numPr>
                <w:ilvl w:val="0"/>
                <w:numId w:val="4"/>
              </w:numPr>
              <w:spacing w:line="360" w:lineRule="auto"/>
              <w:ind w:firstLine="480"/>
              <w:jc w:val="left"/>
              <w:rPr>
                <w:rFonts w:ascii="宋体" w:hAnsi="宋体" w:cs="宋体"/>
                <w:sz w:val="24"/>
              </w:rPr>
            </w:pPr>
            <w:r>
              <w:rPr>
                <w:rFonts w:hint="eastAsia" w:ascii="宋体" w:hAnsi="宋体" w:cs="宋体"/>
                <w:sz w:val="24"/>
              </w:rPr>
              <w:t>各类不同装饰材料交接处、收口处打胶（要求防霉耐久），均不在清单里描述，投标人自行在该项目的综合单价中考虑。</w:t>
            </w:r>
          </w:p>
          <w:p>
            <w:pPr>
              <w:numPr>
                <w:ilvl w:val="0"/>
                <w:numId w:val="4"/>
              </w:numPr>
              <w:spacing w:line="360" w:lineRule="auto"/>
              <w:ind w:firstLine="480"/>
              <w:jc w:val="left"/>
              <w:rPr>
                <w:rFonts w:ascii="宋体" w:hAnsi="宋体" w:cs="宋体"/>
                <w:sz w:val="24"/>
              </w:rPr>
            </w:pPr>
            <w:r>
              <w:rPr>
                <w:rFonts w:hint="eastAsia" w:ascii="宋体" w:hAnsi="宋体" w:cs="宋体"/>
                <w:sz w:val="24"/>
              </w:rPr>
              <w:t>凡是工程量清单特征里没有描述的，或者描述不完整的，以清单总说明为准，清单总说明没有提及的，以图纸为准，投标人需仔细核对。</w:t>
            </w:r>
          </w:p>
          <w:p>
            <w:pPr>
              <w:numPr>
                <w:ilvl w:val="0"/>
                <w:numId w:val="4"/>
              </w:numPr>
              <w:spacing w:line="360" w:lineRule="auto"/>
              <w:ind w:firstLine="480"/>
              <w:jc w:val="left"/>
              <w:rPr>
                <w:rFonts w:ascii="宋体" w:hAnsi="宋体" w:cs="宋体"/>
                <w:sz w:val="24"/>
              </w:rPr>
            </w:pPr>
            <w:r>
              <w:rPr>
                <w:rFonts w:hint="eastAsia" w:ascii="宋体" w:hAnsi="宋体" w:cs="宋体"/>
                <w:sz w:val="24"/>
              </w:rPr>
              <w:t>所有装修面，投标人需考虑与各工种之间的配合，应考虑工程之间配合产生的成品保护，成品保护费列入投标报价中，不再另外计算。</w:t>
            </w:r>
          </w:p>
          <w:p>
            <w:pPr>
              <w:numPr>
                <w:ilvl w:val="0"/>
                <w:numId w:val="4"/>
              </w:numPr>
              <w:spacing w:line="360" w:lineRule="auto"/>
              <w:ind w:firstLine="480"/>
              <w:jc w:val="left"/>
              <w:rPr>
                <w:rFonts w:ascii="宋体" w:hAnsi="宋体" w:cs="宋体"/>
                <w:sz w:val="24"/>
              </w:rPr>
            </w:pPr>
            <w:r>
              <w:rPr>
                <w:rFonts w:hint="eastAsia" w:ascii="宋体" w:hAnsi="宋体" w:cs="宋体"/>
                <w:sz w:val="24"/>
              </w:rPr>
              <w:t>各类装饰板墙面钢架基层，投标人自行考虑钢骨架间距及钢骨架材料规格，需满足装饰面荷载要求，结算不调整。</w:t>
            </w:r>
          </w:p>
          <w:p>
            <w:pPr>
              <w:numPr>
                <w:ilvl w:val="0"/>
                <w:numId w:val="4"/>
              </w:numPr>
              <w:spacing w:line="360" w:lineRule="auto"/>
              <w:ind w:firstLine="480"/>
              <w:jc w:val="left"/>
              <w:rPr>
                <w:rFonts w:ascii="宋体" w:hAnsi="宋体" w:cs="宋体"/>
                <w:sz w:val="24"/>
              </w:rPr>
            </w:pPr>
            <w:r>
              <w:rPr>
                <w:rFonts w:hint="eastAsia" w:ascii="宋体" w:hAnsi="宋体" w:cs="宋体"/>
                <w:sz w:val="24"/>
              </w:rPr>
              <w:t>为确保品质，全部木材（木板、基层板、阻燃板等）均需按照E0、B1级要求，投标人需在报价中考虑。</w:t>
            </w:r>
          </w:p>
          <w:p>
            <w:pPr>
              <w:numPr>
                <w:ilvl w:val="0"/>
                <w:numId w:val="4"/>
              </w:numPr>
              <w:spacing w:line="360" w:lineRule="auto"/>
              <w:ind w:firstLine="480"/>
              <w:jc w:val="left"/>
              <w:rPr>
                <w:rFonts w:ascii="宋体" w:hAnsi="宋体" w:cs="宋体"/>
                <w:sz w:val="24"/>
              </w:rPr>
            </w:pPr>
            <w:r>
              <w:rPr>
                <w:rFonts w:hint="eastAsia" w:ascii="宋体" w:hAnsi="宋体" w:cs="宋体"/>
                <w:sz w:val="24"/>
              </w:rPr>
              <w:t>所有材料及设备安装脚手费、卸力费、保管费、二次搬运费、以及施工范围内的垃圾清运由投标方自行考虑计入报价，投标人中标后不得以任何理由要求费用补偿，结算时不做调整。</w:t>
            </w:r>
          </w:p>
          <w:p>
            <w:pPr>
              <w:numPr>
                <w:ilvl w:val="0"/>
                <w:numId w:val="4"/>
              </w:numPr>
              <w:spacing w:line="360" w:lineRule="auto"/>
              <w:ind w:firstLine="480"/>
              <w:jc w:val="left"/>
              <w:rPr>
                <w:rFonts w:ascii="宋体" w:hAnsi="宋体" w:cs="宋体"/>
                <w:sz w:val="24"/>
              </w:rPr>
            </w:pPr>
            <w:r>
              <w:rPr>
                <w:rFonts w:hint="eastAsia" w:ascii="宋体" w:hAnsi="宋体" w:cs="宋体"/>
                <w:sz w:val="24"/>
              </w:rPr>
              <w:t>装饰单位应在报价中自行考虑垂直运输、人工降效费。</w:t>
            </w:r>
          </w:p>
          <w:p>
            <w:pPr>
              <w:numPr>
                <w:ilvl w:val="0"/>
                <w:numId w:val="4"/>
              </w:numPr>
              <w:spacing w:line="360" w:lineRule="auto"/>
              <w:ind w:firstLine="480"/>
              <w:jc w:val="left"/>
              <w:rPr>
                <w:rFonts w:ascii="宋体" w:hAnsi="宋体" w:cs="宋体"/>
                <w:sz w:val="24"/>
              </w:rPr>
            </w:pPr>
            <w:r>
              <w:rPr>
                <w:rFonts w:hint="eastAsia" w:ascii="宋体" w:hAnsi="宋体" w:cs="宋体"/>
                <w:sz w:val="24"/>
              </w:rPr>
              <w:t>施工完毕需(业主抽查)按规范标准做环境检测，相应的检测费用考虑在投标报价中。</w:t>
            </w:r>
          </w:p>
          <w:p>
            <w:pPr>
              <w:numPr>
                <w:ilvl w:val="0"/>
                <w:numId w:val="4"/>
              </w:numPr>
              <w:spacing w:line="360" w:lineRule="auto"/>
              <w:ind w:firstLine="480"/>
              <w:jc w:val="left"/>
              <w:rPr>
                <w:rFonts w:ascii="宋体" w:hAnsi="宋体" w:cs="宋体"/>
                <w:sz w:val="24"/>
                <w:highlight w:val="none"/>
              </w:rPr>
            </w:pPr>
            <w:r>
              <w:rPr>
                <w:rFonts w:hint="eastAsia" w:ascii="宋体" w:hAnsi="宋体" w:cs="宋体"/>
                <w:sz w:val="24"/>
                <w:highlight w:val="none"/>
              </w:rPr>
              <w:t>本工程石材均为天然石材</w:t>
            </w:r>
            <w:r>
              <w:rPr>
                <w:rFonts w:hint="eastAsia" w:ascii="宋体" w:hAnsi="宋体" w:cs="宋体"/>
                <w:sz w:val="24"/>
                <w:highlight w:val="none"/>
                <w:lang w:eastAsia="zh-CN"/>
              </w:rPr>
              <w:t>。</w:t>
            </w:r>
          </w:p>
          <w:p>
            <w:pPr>
              <w:numPr>
                <w:ilvl w:val="0"/>
                <w:numId w:val="4"/>
              </w:numPr>
              <w:spacing w:line="360" w:lineRule="auto"/>
              <w:ind w:firstLine="480"/>
              <w:jc w:val="left"/>
              <w:rPr>
                <w:rFonts w:ascii="宋体" w:hAnsi="宋体" w:cs="宋体"/>
                <w:sz w:val="24"/>
              </w:rPr>
            </w:pPr>
            <w:r>
              <w:rPr>
                <w:rFonts w:hint="eastAsia" w:ascii="宋体" w:hAnsi="宋体" w:cs="宋体"/>
                <w:sz w:val="24"/>
              </w:rPr>
              <w:t>本工程砂浆均为预拌砂浆、混凝土均为商品混凝土。</w:t>
            </w:r>
          </w:p>
          <w:p>
            <w:pPr>
              <w:numPr>
                <w:ilvl w:val="0"/>
                <w:numId w:val="4"/>
              </w:numPr>
              <w:spacing w:line="360" w:lineRule="auto"/>
              <w:ind w:firstLine="480"/>
              <w:jc w:val="left"/>
              <w:rPr>
                <w:rFonts w:ascii="宋体" w:hAnsi="宋体" w:cs="宋体"/>
                <w:sz w:val="24"/>
              </w:rPr>
            </w:pPr>
            <w:r>
              <w:rPr>
                <w:rFonts w:hint="eastAsia" w:ascii="宋体" w:hAnsi="宋体" w:cs="宋体"/>
                <w:sz w:val="24"/>
              </w:rPr>
              <w:t>本工程所有不锈钢均采用国标304不锈钢标准。</w:t>
            </w:r>
          </w:p>
          <w:p>
            <w:pPr>
              <w:numPr>
                <w:ilvl w:val="0"/>
                <w:numId w:val="4"/>
              </w:numPr>
              <w:spacing w:line="360" w:lineRule="auto"/>
              <w:ind w:firstLine="480"/>
              <w:jc w:val="left"/>
              <w:rPr>
                <w:rFonts w:ascii="宋体" w:hAnsi="宋体" w:cs="宋体"/>
                <w:sz w:val="24"/>
              </w:rPr>
            </w:pPr>
            <w:r>
              <w:rPr>
                <w:rFonts w:hint="eastAsia" w:ascii="宋体" w:hAnsi="宋体" w:cs="宋体"/>
                <w:sz w:val="24"/>
              </w:rPr>
              <w:t>其他装饰材料检测费用按照</w:t>
            </w:r>
            <w:r>
              <w:rPr>
                <w:rFonts w:hint="eastAsia" w:ascii="宋体" w:hAnsi="宋体" w:cs="宋体"/>
                <w:sz w:val="24"/>
                <w:lang w:val="en-US" w:eastAsia="zh-CN"/>
              </w:rPr>
              <w:t>由投标人综合考虑到</w:t>
            </w:r>
            <w:r>
              <w:rPr>
                <w:rFonts w:hint="eastAsia" w:ascii="宋体" w:hAnsi="宋体" w:cs="宋体"/>
                <w:sz w:val="24"/>
              </w:rPr>
              <w:t>报价</w:t>
            </w:r>
            <w:r>
              <w:rPr>
                <w:rFonts w:hint="eastAsia" w:ascii="宋体" w:hAnsi="宋体" w:cs="宋体"/>
                <w:sz w:val="24"/>
                <w:lang w:val="en-US" w:eastAsia="zh-CN"/>
              </w:rPr>
              <w:t>中</w:t>
            </w:r>
            <w:r>
              <w:rPr>
                <w:rFonts w:hint="eastAsia" w:ascii="宋体" w:hAnsi="宋体" w:cs="宋体"/>
                <w:sz w:val="24"/>
              </w:rPr>
              <w:t>，结算时不调整。</w:t>
            </w:r>
          </w:p>
          <w:p>
            <w:pPr>
              <w:numPr>
                <w:ilvl w:val="0"/>
                <w:numId w:val="4"/>
              </w:numPr>
              <w:spacing w:line="360" w:lineRule="auto"/>
              <w:ind w:firstLine="480"/>
              <w:jc w:val="left"/>
              <w:rPr>
                <w:rFonts w:ascii="宋体" w:hAnsi="宋体" w:cs="宋体"/>
                <w:sz w:val="24"/>
              </w:rPr>
            </w:pPr>
            <w:r>
              <w:rPr>
                <w:rFonts w:hint="eastAsia" w:ascii="宋体" w:hAnsi="宋体" w:cs="宋体"/>
                <w:sz w:val="24"/>
              </w:rPr>
              <w:t>根据甲方意见：清单中所有地面石材实测厚度不小于16mm，清单中所有墙面石材实测厚度不小于23mm，实测厚度仅指石材厚度，不含防护、背网等厚度，投标人需根据市场询价综合报价。</w:t>
            </w:r>
          </w:p>
          <w:p>
            <w:pPr>
              <w:numPr>
                <w:ilvl w:val="0"/>
                <w:numId w:val="4"/>
              </w:numPr>
              <w:spacing w:line="360" w:lineRule="auto"/>
              <w:ind w:firstLine="480"/>
              <w:jc w:val="left"/>
              <w:rPr>
                <w:rFonts w:ascii="宋体" w:hAnsi="宋体" w:cs="宋体"/>
                <w:b/>
                <w:bCs/>
                <w:sz w:val="24"/>
              </w:rPr>
            </w:pPr>
            <w:r>
              <w:rPr>
                <w:rFonts w:hint="eastAsia" w:ascii="宋体" w:hAnsi="宋体" w:cs="宋体"/>
                <w:sz w:val="24"/>
              </w:rPr>
              <w:t>楼地面工程中需要激光机抹平，浇筑砼垫层、找平层、整体面层时的所需的措施费用，投标人自行考虑综合报价。</w:t>
            </w:r>
          </w:p>
          <w:p>
            <w:pPr>
              <w:numPr>
                <w:ilvl w:val="0"/>
                <w:numId w:val="4"/>
              </w:numPr>
              <w:spacing w:line="360" w:lineRule="auto"/>
              <w:ind w:firstLine="480"/>
              <w:jc w:val="left"/>
              <w:rPr>
                <w:rFonts w:hint="eastAsia" w:ascii="宋体" w:hAnsi="宋体" w:cs="宋体"/>
                <w:sz w:val="24"/>
              </w:rPr>
            </w:pPr>
            <w:r>
              <w:rPr>
                <w:rFonts w:hint="eastAsia" w:ascii="宋体" w:hAnsi="宋体" w:cs="宋体"/>
                <w:sz w:val="24"/>
              </w:rPr>
              <w:t>施工过程中需要对所有的建筑物进行保护，不能污染，破坏原有的建筑。如有污染，破坏需要及时恢复。在投标报价中必须予以考虑，结算时不得调整。</w:t>
            </w:r>
          </w:p>
          <w:p>
            <w:pPr>
              <w:numPr>
                <w:ilvl w:val="0"/>
                <w:numId w:val="4"/>
              </w:numPr>
              <w:spacing w:line="360" w:lineRule="auto"/>
              <w:ind w:firstLine="480"/>
              <w:jc w:val="left"/>
              <w:rPr>
                <w:rFonts w:hint="eastAsia" w:ascii="宋体" w:hAnsi="宋体" w:cs="宋体"/>
                <w:sz w:val="24"/>
              </w:rPr>
            </w:pPr>
            <w:r>
              <w:rPr>
                <w:rFonts w:hint="eastAsia" w:ascii="宋体" w:hAnsi="宋体" w:cs="宋体"/>
                <w:sz w:val="24"/>
              </w:rPr>
              <w:t>施工过程中各专业要协调配合施工，若因此产生的返工整改等费用，由投标人自行考虑，结算时不做调整。</w:t>
            </w:r>
          </w:p>
          <w:p>
            <w:pPr>
              <w:numPr>
                <w:ilvl w:val="0"/>
                <w:numId w:val="4"/>
              </w:numPr>
              <w:spacing w:line="360" w:lineRule="auto"/>
              <w:ind w:firstLine="480"/>
              <w:jc w:val="left"/>
              <w:rPr>
                <w:rFonts w:hint="eastAsia" w:ascii="宋体" w:hAnsi="宋体" w:cs="宋体"/>
                <w:sz w:val="24"/>
              </w:rPr>
            </w:pPr>
            <w:r>
              <w:rPr>
                <w:rFonts w:hint="eastAsia" w:ascii="宋体" w:hAnsi="宋体" w:cs="宋体"/>
                <w:sz w:val="24"/>
              </w:rPr>
              <w:t>对地面、墙面所有石材进行封样处理，封样的确认样板需提供：项目名称、材料名称、材料编号、材料产地、材料规格、材料厚度、材料分类档次、使用部位等信息，施工时按照封样确认的样板进行施工。</w:t>
            </w:r>
          </w:p>
          <w:p>
            <w:pPr>
              <w:numPr>
                <w:ilvl w:val="0"/>
                <w:numId w:val="4"/>
              </w:numPr>
              <w:spacing w:line="360" w:lineRule="auto"/>
              <w:ind w:firstLine="480"/>
              <w:jc w:val="left"/>
              <w:rPr>
                <w:rFonts w:hint="eastAsia" w:ascii="宋体" w:hAnsi="宋体" w:cs="宋体"/>
                <w:sz w:val="24"/>
              </w:rPr>
            </w:pPr>
            <w:r>
              <w:rPr>
                <w:rFonts w:hint="eastAsia" w:ascii="宋体" w:hAnsi="宋体" w:cs="宋体"/>
                <w:sz w:val="24"/>
                <w:lang w:val="en-US" w:eastAsia="zh-CN"/>
              </w:rPr>
              <w:t>水景控制箱电气系统需二次深化设计，配管暂按JDG20管计入，配线按WDZC-BYJ-2.5计入，待深化设计后按实际调整。</w:t>
            </w:r>
          </w:p>
          <w:p>
            <w:pPr>
              <w:spacing w:line="540" w:lineRule="exact"/>
              <w:ind w:firstLine="482" w:firstLineChars="200"/>
              <w:rPr>
                <w:rFonts w:ascii="宋体" w:hAnsi="宋体" w:cs="宋体"/>
                <w:b/>
                <w:bCs/>
                <w:sz w:val="24"/>
              </w:rPr>
            </w:pPr>
            <w:r>
              <w:rPr>
                <w:rFonts w:hint="eastAsia" w:ascii="宋体" w:hAnsi="宋体" w:cs="宋体"/>
                <w:b/>
                <w:bCs/>
                <w:sz w:val="24"/>
                <w:lang w:val="en-US" w:eastAsia="zh-CN"/>
              </w:rPr>
              <w:t>五</w:t>
            </w:r>
            <w:r>
              <w:rPr>
                <w:rFonts w:hint="eastAsia" w:ascii="宋体" w:hAnsi="宋体" w:cs="宋体"/>
                <w:b/>
                <w:bCs/>
                <w:sz w:val="24"/>
              </w:rPr>
              <w:t>、 其他：</w:t>
            </w:r>
          </w:p>
          <w:p>
            <w:pPr>
              <w:spacing w:line="540" w:lineRule="exact"/>
              <w:ind w:firstLine="480" w:firstLineChars="200"/>
              <w:rPr>
                <w:rFonts w:ascii="宋体" w:hAnsi="宋体" w:cs="宋体"/>
                <w:sz w:val="24"/>
              </w:rPr>
            </w:pPr>
            <w:r>
              <w:rPr>
                <w:rFonts w:hint="eastAsia" w:ascii="宋体" w:hAnsi="宋体" w:cs="宋体"/>
                <w:sz w:val="24"/>
              </w:rPr>
              <w:t>1、工程量清单中如有不明确的地方或清单未描述的，详见施工图，如投标人对清单有疑议，在投标前提出，否则视为认同，结算时不做调整。</w:t>
            </w:r>
          </w:p>
          <w:p>
            <w:pPr>
              <w:spacing w:line="540" w:lineRule="exact"/>
              <w:ind w:firstLine="480" w:firstLineChars="200"/>
              <w:rPr>
                <w:rFonts w:ascii="宋体" w:hAnsi="宋体" w:cs="宋体"/>
                <w:sz w:val="24"/>
              </w:rPr>
            </w:pPr>
            <w:r>
              <w:rPr>
                <w:rFonts w:hint="eastAsia" w:ascii="宋体" w:hAnsi="宋体" w:cs="宋体"/>
                <w:sz w:val="24"/>
              </w:rPr>
              <w:t>2、分部分项工程量清单中对工程项目的项目特征及具体做法只作重点描述，详细情况见施工图设计、技术说明及相关标准图集，组价时应结合投标人现场勘查情况包括完成所有工序工作内容的全部费用。</w:t>
            </w:r>
          </w:p>
          <w:p>
            <w:pPr>
              <w:spacing w:line="460" w:lineRule="exact"/>
              <w:ind w:firstLine="480" w:firstLineChars="200"/>
              <w:rPr>
                <w:rFonts w:ascii="宋体" w:hAnsi="宋体" w:cs="宋体"/>
                <w:sz w:val="24"/>
              </w:rPr>
            </w:pPr>
            <w:r>
              <w:rPr>
                <w:rFonts w:hint="eastAsia" w:ascii="宋体" w:hAnsi="宋体" w:cs="宋体"/>
                <w:sz w:val="24"/>
              </w:rPr>
              <w:t xml:space="preserve">3、工程量清单中的每一个项目，都需填入综合单价及合价；不同单项及单位工程中的分部分项工程量清单中相同项目（项目特征及工作内容相同）的报价应统一，如有差异，按最低一个报价进行结算。 </w:t>
            </w:r>
          </w:p>
          <w:p>
            <w:pPr>
              <w:widowControl w:val="0"/>
              <w:numPr>
                <w:ilvl w:val="0"/>
                <w:numId w:val="0"/>
              </w:numPr>
              <w:spacing w:line="540" w:lineRule="exact"/>
              <w:jc w:val="both"/>
              <w:rPr>
                <w:rFonts w:hint="eastAsia" w:ascii="宋体" w:hAnsi="宋体" w:cs="宋体"/>
                <w:b/>
                <w:bCs/>
                <w:sz w:val="24"/>
              </w:rPr>
            </w:pPr>
            <w:r>
              <w:rPr>
                <w:rFonts w:hint="eastAsia" w:ascii="宋体" w:hAnsi="宋体" w:cs="宋体"/>
                <w:sz w:val="24"/>
              </w:rPr>
              <w:t>4、本工程以项为单位的分部分项工程，由投标人自行考虑该部分费用，结算时不做调整。</w:t>
            </w:r>
          </w:p>
          <w:p>
            <w:pPr>
              <w:spacing w:line="640" w:lineRule="exact"/>
              <w:rPr>
                <w:rFonts w:ascii="宋体" w:hAnsi="宋体" w:cs="宋体"/>
                <w:b/>
                <w:bCs/>
                <w:sz w:val="24"/>
              </w:rPr>
            </w:pPr>
            <w:r>
              <w:rPr>
                <w:rFonts w:hint="eastAsia" w:ascii="宋体" w:hAnsi="宋体" w:cs="宋体"/>
                <w:b/>
                <w:bCs/>
                <w:sz w:val="24"/>
                <w:lang w:val="en-US" w:eastAsia="zh-CN"/>
              </w:rPr>
              <w:t>六</w:t>
            </w:r>
            <w:r>
              <w:rPr>
                <w:rFonts w:hint="eastAsia" w:ascii="宋体" w:hAnsi="宋体" w:cs="宋体"/>
                <w:b/>
                <w:bCs/>
                <w:sz w:val="24"/>
              </w:rPr>
              <w:t>、本工程不可竞争费用项目及其费率见下表：</w:t>
            </w:r>
          </w:p>
          <w:tbl>
            <w:tblPr>
              <w:tblStyle w:val="7"/>
              <w:tblpPr w:leftFromText="180" w:rightFromText="180" w:vertAnchor="page" w:horzAnchor="page" w:tblpX="199" w:tblpY="808"/>
              <w:tblOverlap w:val="never"/>
              <w:tblW w:w="9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233"/>
              <w:gridCol w:w="1317"/>
              <w:gridCol w:w="1295"/>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940" w:type="dxa"/>
                  <w:vMerge w:val="restart"/>
                  <w:vAlign w:val="center"/>
                </w:tcPr>
                <w:p>
                  <w:pPr>
                    <w:spacing w:line="500" w:lineRule="exact"/>
                    <w:ind w:firstLine="420" w:firstLineChars="200"/>
                    <w:jc w:val="center"/>
                    <w:rPr>
                      <w:rFonts w:ascii="宋体" w:hAnsi="宋体" w:cs="宋体"/>
                      <w:szCs w:val="21"/>
                    </w:rPr>
                  </w:pPr>
                  <w:r>
                    <w:rPr>
                      <w:rFonts w:hint="eastAsia" w:ascii="宋体" w:hAnsi="宋体" w:cs="宋体"/>
                      <w:szCs w:val="21"/>
                    </w:rPr>
                    <w:t>项     目</w:t>
                  </w:r>
                </w:p>
              </w:tc>
              <w:tc>
                <w:tcPr>
                  <w:tcW w:w="3845" w:type="dxa"/>
                  <w:gridSpan w:val="3"/>
                  <w:vAlign w:val="center"/>
                </w:tcPr>
                <w:p>
                  <w:pPr>
                    <w:spacing w:line="500" w:lineRule="exact"/>
                    <w:ind w:firstLine="420" w:firstLineChars="200"/>
                    <w:jc w:val="center"/>
                    <w:rPr>
                      <w:rFonts w:ascii="宋体" w:hAnsi="宋体" w:cs="宋体"/>
                      <w:szCs w:val="21"/>
                    </w:rPr>
                  </w:pPr>
                  <w:r>
                    <w:rPr>
                      <w:rFonts w:hint="eastAsia" w:ascii="宋体" w:hAnsi="宋体" w:cs="宋体"/>
                      <w:szCs w:val="21"/>
                    </w:rPr>
                    <w:t>费率</w:t>
                  </w:r>
                </w:p>
              </w:tc>
              <w:tc>
                <w:tcPr>
                  <w:tcW w:w="2495" w:type="dxa"/>
                  <w:vMerge w:val="restart"/>
                  <w:vAlign w:val="center"/>
                </w:tcPr>
                <w:p>
                  <w:pPr>
                    <w:spacing w:line="500" w:lineRule="exact"/>
                    <w:ind w:firstLine="420" w:firstLineChars="200"/>
                    <w:jc w:val="center"/>
                    <w:rPr>
                      <w:rFonts w:ascii="宋体" w:hAnsi="宋体" w:cs="宋体"/>
                      <w:szCs w:val="21"/>
                    </w:rPr>
                  </w:pPr>
                  <w:r>
                    <w:rPr>
                      <w:rFonts w:hint="eastAsia" w:ascii="宋体" w:hAnsi="宋体" w:cs="宋体"/>
                      <w:szCs w:val="21"/>
                    </w:rPr>
                    <w:t>计算基础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940" w:type="dxa"/>
                  <w:vMerge w:val="continue"/>
                  <w:vAlign w:val="center"/>
                </w:tcPr>
                <w:p>
                  <w:pPr>
                    <w:spacing w:line="500" w:lineRule="exact"/>
                    <w:ind w:firstLine="420" w:firstLineChars="200"/>
                    <w:jc w:val="center"/>
                    <w:rPr>
                      <w:rFonts w:ascii="宋体" w:hAnsi="宋体" w:cs="宋体"/>
                      <w:szCs w:val="21"/>
                    </w:rPr>
                  </w:pPr>
                </w:p>
              </w:tc>
              <w:tc>
                <w:tcPr>
                  <w:tcW w:w="1233" w:type="dxa"/>
                  <w:vAlign w:val="center"/>
                </w:tcPr>
                <w:p>
                  <w:pPr>
                    <w:spacing w:line="500" w:lineRule="exact"/>
                    <w:ind w:firstLine="420" w:firstLineChars="200"/>
                    <w:jc w:val="both"/>
                    <w:rPr>
                      <w:rFonts w:ascii="宋体" w:hAnsi="宋体" w:cs="宋体"/>
                      <w:szCs w:val="21"/>
                    </w:rPr>
                  </w:pPr>
                  <w:r>
                    <w:rPr>
                      <w:rFonts w:hint="eastAsia" w:ascii="宋体" w:hAnsi="宋体" w:cs="宋体"/>
                      <w:szCs w:val="21"/>
                    </w:rPr>
                    <w:t>装饰</w:t>
                  </w:r>
                </w:p>
              </w:tc>
              <w:tc>
                <w:tcPr>
                  <w:tcW w:w="1317" w:type="dxa"/>
                  <w:vAlign w:val="center"/>
                </w:tcPr>
                <w:p>
                  <w:pPr>
                    <w:spacing w:line="500" w:lineRule="exact"/>
                    <w:ind w:firstLine="420" w:firstLineChars="200"/>
                    <w:jc w:val="both"/>
                    <w:rPr>
                      <w:rFonts w:hint="eastAsia" w:ascii="宋体" w:hAnsi="宋体" w:eastAsia="宋体" w:cs="宋体"/>
                      <w:szCs w:val="21"/>
                      <w:lang w:val="en-US" w:eastAsia="zh-CN"/>
                    </w:rPr>
                  </w:pPr>
                  <w:r>
                    <w:rPr>
                      <w:rFonts w:hint="eastAsia" w:ascii="宋体" w:hAnsi="宋体" w:cs="宋体"/>
                      <w:szCs w:val="21"/>
                      <w:lang w:val="en-US" w:eastAsia="zh-CN"/>
                    </w:rPr>
                    <w:t>安装</w:t>
                  </w:r>
                </w:p>
              </w:tc>
              <w:tc>
                <w:tcPr>
                  <w:tcW w:w="1295" w:type="dxa"/>
                  <w:vAlign w:val="center"/>
                </w:tcPr>
                <w:p>
                  <w:pPr>
                    <w:spacing w:line="500" w:lineRule="exact"/>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园林</w:t>
                  </w:r>
                </w:p>
              </w:tc>
              <w:tc>
                <w:tcPr>
                  <w:tcW w:w="2495" w:type="dxa"/>
                  <w:vMerge w:val="continue"/>
                  <w:vAlign w:val="center"/>
                </w:tcPr>
                <w:p>
                  <w:pPr>
                    <w:spacing w:line="500" w:lineRule="exact"/>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940" w:type="dxa"/>
                  <w:vAlign w:val="center"/>
                </w:tcPr>
                <w:p>
                  <w:pPr>
                    <w:spacing w:line="500" w:lineRule="exact"/>
                    <w:ind w:firstLine="420" w:firstLineChars="200"/>
                    <w:jc w:val="center"/>
                    <w:rPr>
                      <w:rFonts w:ascii="宋体" w:hAnsi="宋体" w:cs="宋体"/>
                      <w:szCs w:val="21"/>
                    </w:rPr>
                  </w:pPr>
                  <w:r>
                    <w:rPr>
                      <w:rFonts w:hint="eastAsia" w:ascii="宋体" w:hAnsi="宋体" w:cs="宋体"/>
                      <w:szCs w:val="21"/>
                    </w:rPr>
                    <w:t>环境保护税</w:t>
                  </w:r>
                </w:p>
              </w:tc>
              <w:tc>
                <w:tcPr>
                  <w:tcW w:w="1233" w:type="dxa"/>
                  <w:vAlign w:val="center"/>
                </w:tcPr>
                <w:p>
                  <w:pPr>
                    <w:spacing w:line="500" w:lineRule="exact"/>
                    <w:ind w:firstLine="420" w:firstLineChars="200"/>
                    <w:jc w:val="both"/>
                    <w:rPr>
                      <w:rFonts w:ascii="宋体" w:hAnsi="宋体" w:cs="宋体"/>
                      <w:szCs w:val="21"/>
                    </w:rPr>
                  </w:pPr>
                  <w:r>
                    <w:rPr>
                      <w:rFonts w:hint="eastAsia" w:ascii="宋体" w:hAnsi="宋体" w:cs="宋体"/>
                      <w:szCs w:val="21"/>
                    </w:rPr>
                    <w:t>0</w:t>
                  </w:r>
                </w:p>
              </w:tc>
              <w:tc>
                <w:tcPr>
                  <w:tcW w:w="1317" w:type="dxa"/>
                  <w:vAlign w:val="center"/>
                </w:tcPr>
                <w:p>
                  <w:pPr>
                    <w:spacing w:line="500" w:lineRule="exact"/>
                    <w:ind w:firstLine="420" w:firstLineChars="200"/>
                    <w:jc w:val="both"/>
                    <w:rPr>
                      <w:rFonts w:hint="eastAsia" w:ascii="宋体" w:hAnsi="宋体" w:eastAsia="宋体" w:cs="宋体"/>
                      <w:szCs w:val="21"/>
                      <w:lang w:val="en-US" w:eastAsia="zh-CN"/>
                    </w:rPr>
                  </w:pPr>
                  <w:r>
                    <w:rPr>
                      <w:rFonts w:hint="eastAsia" w:ascii="宋体" w:hAnsi="宋体" w:cs="宋体"/>
                      <w:szCs w:val="21"/>
                      <w:lang w:val="en-US" w:eastAsia="zh-CN"/>
                    </w:rPr>
                    <w:t>0</w:t>
                  </w:r>
                </w:p>
              </w:tc>
              <w:tc>
                <w:tcPr>
                  <w:tcW w:w="1295" w:type="dxa"/>
                  <w:vAlign w:val="center"/>
                </w:tcPr>
                <w:p>
                  <w:pPr>
                    <w:spacing w:line="500" w:lineRule="exact"/>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w:t>
                  </w:r>
                </w:p>
              </w:tc>
              <w:tc>
                <w:tcPr>
                  <w:tcW w:w="2495" w:type="dxa"/>
                  <w:vMerge w:val="restart"/>
                  <w:vAlign w:val="center"/>
                </w:tcPr>
                <w:p>
                  <w:pPr>
                    <w:spacing w:line="360" w:lineRule="exact"/>
                    <w:jc w:val="center"/>
                    <w:rPr>
                      <w:rFonts w:ascii="宋体" w:hAnsi="宋体" w:cs="宋体"/>
                      <w:szCs w:val="21"/>
                    </w:rPr>
                  </w:pPr>
                  <w:r>
                    <w:rPr>
                      <w:rFonts w:hint="eastAsia" w:ascii="宋体" w:hAnsi="宋体" w:cs="宋体"/>
                      <w:szCs w:val="21"/>
                    </w:rPr>
                    <w:t>分部分项工程费+措施项目费+其他项目费-除税工程设备费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940" w:type="dxa"/>
                  <w:vAlign w:val="center"/>
                </w:tcPr>
                <w:p>
                  <w:pPr>
                    <w:ind w:firstLine="420" w:firstLineChars="200"/>
                    <w:jc w:val="center"/>
                    <w:rPr>
                      <w:rFonts w:ascii="宋体" w:hAnsi="宋体" w:cs="宋体"/>
                      <w:szCs w:val="21"/>
                    </w:rPr>
                  </w:pPr>
                  <w:r>
                    <w:rPr>
                      <w:rFonts w:hint="eastAsia" w:ascii="宋体" w:hAnsi="宋体" w:cs="宋体"/>
                      <w:szCs w:val="21"/>
                    </w:rPr>
                    <w:t>社会保险费</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2.4%</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2.4%</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3.3%</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940" w:type="dxa"/>
                  <w:vAlign w:val="center"/>
                </w:tcPr>
                <w:p>
                  <w:pPr>
                    <w:ind w:firstLine="420" w:firstLineChars="200"/>
                    <w:jc w:val="center"/>
                    <w:rPr>
                      <w:rFonts w:ascii="宋体" w:hAnsi="宋体" w:cs="宋体"/>
                      <w:szCs w:val="21"/>
                    </w:rPr>
                  </w:pPr>
                  <w:r>
                    <w:rPr>
                      <w:rFonts w:hint="eastAsia" w:ascii="宋体" w:hAnsi="宋体" w:cs="宋体"/>
                      <w:szCs w:val="21"/>
                    </w:rPr>
                    <w:t>住房公积金</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0.42%</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0.42%</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0.55%</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2940" w:type="dxa"/>
                  <w:vAlign w:val="center"/>
                </w:tcPr>
                <w:p>
                  <w:pPr>
                    <w:jc w:val="center"/>
                    <w:rPr>
                      <w:rFonts w:ascii="宋体" w:hAnsi="宋体" w:cs="宋体"/>
                      <w:szCs w:val="21"/>
                    </w:rPr>
                  </w:pPr>
                  <w:r>
                    <w:rPr>
                      <w:rFonts w:hint="eastAsia" w:ascii="宋体" w:hAnsi="宋体" w:cs="宋体"/>
                      <w:szCs w:val="21"/>
                    </w:rPr>
                    <w:t>现场安全文明施工（基本费）</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1.7%</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1.5%</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1%</w:t>
                  </w:r>
                </w:p>
              </w:tc>
              <w:tc>
                <w:tcPr>
                  <w:tcW w:w="2495" w:type="dxa"/>
                  <w:vMerge w:val="restart"/>
                  <w:vAlign w:val="center"/>
                </w:tcPr>
                <w:p>
                  <w:pPr>
                    <w:ind w:firstLine="420" w:firstLineChars="200"/>
                    <w:jc w:val="center"/>
                    <w:rPr>
                      <w:rFonts w:ascii="宋体" w:hAnsi="宋体" w:cs="宋体"/>
                      <w:szCs w:val="21"/>
                    </w:rPr>
                  </w:pPr>
                  <w:r>
                    <w:rPr>
                      <w:rFonts w:hint="eastAsia" w:ascii="宋体" w:hAnsi="宋体" w:cs="宋体"/>
                      <w:szCs w:val="21"/>
                    </w:rPr>
                    <w:t>分部分项合计+单价措施项目合计-除税工程设备费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940" w:type="dxa"/>
                  <w:vAlign w:val="center"/>
                </w:tcPr>
                <w:p>
                  <w:pPr>
                    <w:jc w:val="center"/>
                    <w:rPr>
                      <w:rFonts w:ascii="宋体" w:hAnsi="宋体" w:cs="宋体"/>
                      <w:szCs w:val="21"/>
                    </w:rPr>
                  </w:pPr>
                  <w:r>
                    <w:rPr>
                      <w:rFonts w:hint="eastAsia" w:ascii="宋体" w:hAnsi="宋体" w:cs="宋体"/>
                      <w:szCs w:val="21"/>
                    </w:rPr>
                    <w:t>建筑工人实名制费用</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0.03%</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0.03%</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0.04%</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940" w:type="dxa"/>
                  <w:vAlign w:val="center"/>
                </w:tcPr>
                <w:p>
                  <w:pPr>
                    <w:jc w:val="center"/>
                    <w:rPr>
                      <w:rFonts w:ascii="宋体" w:hAnsi="宋体" w:cs="宋体"/>
                      <w:szCs w:val="21"/>
                    </w:rPr>
                  </w:pPr>
                  <w:r>
                    <w:rPr>
                      <w:rFonts w:hint="eastAsia" w:ascii="宋体" w:hAnsi="宋体" w:cs="宋体"/>
                      <w:szCs w:val="21"/>
                    </w:rPr>
                    <w:t>扬尘污染防治增加费</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0.22%</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0.21%</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0.21%</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940" w:type="dxa"/>
                  <w:vAlign w:val="center"/>
                </w:tcPr>
                <w:p>
                  <w:pPr>
                    <w:jc w:val="center"/>
                    <w:rPr>
                      <w:rFonts w:hint="eastAsia" w:ascii="宋体" w:hAnsi="宋体" w:cs="宋体"/>
                      <w:szCs w:val="21"/>
                    </w:rPr>
                  </w:pPr>
                  <w:r>
                    <w:rPr>
                      <w:rFonts w:hint="eastAsia"/>
                    </w:rPr>
                    <w:t>新冠疫情常态化防控费用</w:t>
                  </w:r>
                </w:p>
              </w:tc>
              <w:tc>
                <w:tcPr>
                  <w:tcW w:w="1233"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0.3%</w:t>
                  </w:r>
                </w:p>
              </w:tc>
              <w:tc>
                <w:tcPr>
                  <w:tcW w:w="1317"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0.3%</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0.3%</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940" w:type="dxa"/>
                  <w:vAlign w:val="center"/>
                </w:tcPr>
                <w:p>
                  <w:pPr>
                    <w:jc w:val="center"/>
                    <w:rPr>
                      <w:rFonts w:hint="eastAsia" w:eastAsia="宋体"/>
                      <w:lang w:val="en-US" w:eastAsia="zh-CN"/>
                    </w:rPr>
                  </w:pPr>
                  <w:r>
                    <w:rPr>
                      <w:rFonts w:hint="eastAsia"/>
                      <w:lang w:val="en-US" w:eastAsia="zh-CN"/>
                    </w:rPr>
                    <w:t>安全文明施工增加费</w:t>
                  </w:r>
                </w:p>
              </w:tc>
              <w:tc>
                <w:tcPr>
                  <w:tcW w:w="1233"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0.4%</w:t>
                  </w:r>
                </w:p>
              </w:tc>
              <w:tc>
                <w:tcPr>
                  <w:tcW w:w="1317"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0.3%</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0.4%</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940" w:type="dxa"/>
                  <w:vAlign w:val="center"/>
                </w:tcPr>
                <w:p>
                  <w:pPr>
                    <w:jc w:val="center"/>
                    <w:rPr>
                      <w:rFonts w:ascii="宋体" w:hAnsi="宋体" w:cs="宋体"/>
                      <w:szCs w:val="21"/>
                    </w:rPr>
                  </w:pPr>
                  <w:r>
                    <w:rPr>
                      <w:rFonts w:hint="eastAsia" w:ascii="宋体" w:hAnsi="宋体" w:cs="宋体"/>
                      <w:szCs w:val="21"/>
                    </w:rPr>
                    <w:t>已完工程及设备保护</w:t>
                  </w:r>
                </w:p>
              </w:tc>
              <w:tc>
                <w:tcPr>
                  <w:tcW w:w="1233" w:type="dxa"/>
                  <w:vAlign w:val="center"/>
                </w:tcPr>
                <w:p>
                  <w:pPr>
                    <w:ind w:firstLine="420" w:firstLineChars="200"/>
                    <w:jc w:val="both"/>
                    <w:rPr>
                      <w:rFonts w:ascii="宋体" w:hAnsi="宋体" w:cs="宋体"/>
                      <w:szCs w:val="21"/>
                    </w:rPr>
                  </w:pPr>
                  <w:r>
                    <w:rPr>
                      <w:rFonts w:hint="eastAsia" w:ascii="宋体" w:hAnsi="宋体" w:cs="宋体"/>
                      <w:szCs w:val="21"/>
                    </w:rPr>
                    <w:t>0.05%</w:t>
                  </w:r>
                </w:p>
              </w:tc>
              <w:tc>
                <w:tcPr>
                  <w:tcW w:w="1317" w:type="dxa"/>
                  <w:vAlign w:val="center"/>
                </w:tcPr>
                <w:p>
                  <w:pPr>
                    <w:ind w:firstLine="420" w:firstLineChars="200"/>
                    <w:jc w:val="both"/>
                    <w:rPr>
                      <w:rFonts w:hint="default" w:ascii="宋体" w:hAnsi="宋体" w:eastAsia="宋体" w:cs="宋体"/>
                      <w:szCs w:val="21"/>
                      <w:lang w:val="en-US" w:eastAsia="zh-CN"/>
                    </w:rPr>
                  </w:pPr>
                  <w:r>
                    <w:rPr>
                      <w:rFonts w:hint="eastAsia" w:ascii="宋体" w:hAnsi="宋体" w:cs="宋体"/>
                      <w:szCs w:val="21"/>
                      <w:lang w:val="en-US" w:eastAsia="zh-CN"/>
                    </w:rPr>
                    <w:t>0.05%</w:t>
                  </w:r>
                </w:p>
              </w:tc>
              <w:tc>
                <w:tcPr>
                  <w:tcW w:w="1295" w:type="dxa"/>
                  <w:vAlign w:val="center"/>
                </w:tcPr>
                <w:p>
                  <w:pPr>
                    <w:ind w:firstLine="420" w:firstLineChars="200"/>
                    <w:jc w:val="both"/>
                    <w:rPr>
                      <w:rFonts w:hint="default" w:ascii="宋体" w:hAnsi="宋体" w:cs="宋体"/>
                      <w:szCs w:val="21"/>
                      <w:lang w:val="en-US" w:eastAsia="zh-CN"/>
                    </w:rPr>
                  </w:pPr>
                  <w:r>
                    <w:rPr>
                      <w:rFonts w:hint="eastAsia" w:ascii="宋体" w:hAnsi="宋体" w:cs="宋体"/>
                      <w:szCs w:val="21"/>
                      <w:lang w:val="en-US" w:eastAsia="zh-CN"/>
                    </w:rPr>
                    <w:t>0.05%</w:t>
                  </w:r>
                </w:p>
              </w:tc>
              <w:tc>
                <w:tcPr>
                  <w:tcW w:w="2495" w:type="dxa"/>
                  <w:vMerge w:val="continue"/>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940" w:type="dxa"/>
                  <w:vAlign w:val="center"/>
                </w:tcPr>
                <w:p>
                  <w:pPr>
                    <w:ind w:firstLine="420" w:firstLineChars="200"/>
                    <w:jc w:val="center"/>
                    <w:rPr>
                      <w:rFonts w:ascii="宋体" w:hAnsi="宋体" w:cs="宋体"/>
                      <w:szCs w:val="21"/>
                    </w:rPr>
                  </w:pPr>
                  <w:r>
                    <w:rPr>
                      <w:rFonts w:hint="eastAsia" w:ascii="宋体" w:hAnsi="宋体" w:cs="宋体"/>
                      <w:szCs w:val="21"/>
                    </w:rPr>
                    <w:t>工程按质论价</w:t>
                  </w:r>
                </w:p>
              </w:tc>
              <w:tc>
                <w:tcPr>
                  <w:tcW w:w="3845" w:type="dxa"/>
                  <w:gridSpan w:val="3"/>
                  <w:vAlign w:val="center"/>
                </w:tcPr>
                <w:p>
                  <w:pPr>
                    <w:ind w:firstLine="420" w:firstLineChars="200"/>
                    <w:jc w:val="center"/>
                    <w:rPr>
                      <w:rFonts w:ascii="宋体" w:hAnsi="宋体" w:cs="宋体"/>
                      <w:szCs w:val="21"/>
                    </w:rPr>
                  </w:pPr>
                  <w:r>
                    <w:rPr>
                      <w:rFonts w:hint="eastAsia" w:ascii="宋体" w:hAnsi="宋体" w:cs="宋体"/>
                      <w:szCs w:val="21"/>
                    </w:rPr>
                    <w:t>1.1%</w:t>
                  </w:r>
                </w:p>
              </w:tc>
              <w:tc>
                <w:tcPr>
                  <w:tcW w:w="2495"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2940" w:type="dxa"/>
                  <w:vAlign w:val="center"/>
                </w:tcPr>
                <w:p>
                  <w:pPr>
                    <w:ind w:firstLine="420" w:firstLineChars="200"/>
                    <w:jc w:val="center"/>
                    <w:rPr>
                      <w:rFonts w:ascii="宋体" w:hAnsi="宋体" w:cs="宋体"/>
                      <w:szCs w:val="21"/>
                    </w:rPr>
                  </w:pPr>
                  <w:r>
                    <w:rPr>
                      <w:rFonts w:hint="eastAsia" w:ascii="宋体" w:hAnsi="宋体" w:cs="宋体"/>
                      <w:szCs w:val="21"/>
                    </w:rPr>
                    <w:t>暂列金额</w:t>
                  </w:r>
                </w:p>
              </w:tc>
              <w:tc>
                <w:tcPr>
                  <w:tcW w:w="3845" w:type="dxa"/>
                  <w:gridSpan w:val="3"/>
                  <w:vAlign w:val="center"/>
                </w:tcPr>
                <w:p>
                  <w:pPr>
                    <w:ind w:firstLine="420" w:firstLineChars="200"/>
                    <w:jc w:val="center"/>
                    <w:rPr>
                      <w:rFonts w:ascii="宋体" w:hAnsi="宋体" w:cs="宋体"/>
                      <w:szCs w:val="21"/>
                    </w:rPr>
                  </w:pPr>
                </w:p>
              </w:tc>
              <w:tc>
                <w:tcPr>
                  <w:tcW w:w="2495" w:type="dxa"/>
                  <w:vAlign w:val="center"/>
                </w:tcPr>
                <w:p>
                  <w:pPr>
                    <w:ind w:firstLine="420" w:firstLineChars="20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2940" w:type="dxa"/>
                  <w:vAlign w:val="center"/>
                </w:tcPr>
                <w:p>
                  <w:pPr>
                    <w:ind w:firstLine="420" w:firstLineChars="200"/>
                    <w:jc w:val="center"/>
                    <w:rPr>
                      <w:rFonts w:ascii="宋体" w:hAnsi="宋体" w:cs="宋体"/>
                      <w:szCs w:val="21"/>
                    </w:rPr>
                  </w:pPr>
                  <w:r>
                    <w:rPr>
                      <w:rFonts w:hint="eastAsia" w:ascii="宋体" w:hAnsi="宋体" w:cs="宋体"/>
                      <w:szCs w:val="21"/>
                    </w:rPr>
                    <w:t>税金</w:t>
                  </w:r>
                </w:p>
              </w:tc>
              <w:tc>
                <w:tcPr>
                  <w:tcW w:w="3845" w:type="dxa"/>
                  <w:gridSpan w:val="3"/>
                  <w:vAlign w:val="center"/>
                </w:tcPr>
                <w:p>
                  <w:pPr>
                    <w:ind w:firstLine="420" w:firstLineChars="200"/>
                    <w:jc w:val="center"/>
                    <w:rPr>
                      <w:rFonts w:ascii="宋体" w:hAnsi="宋体" w:cs="宋体"/>
                      <w:szCs w:val="21"/>
                    </w:rPr>
                  </w:pPr>
                  <w:r>
                    <w:rPr>
                      <w:rFonts w:hint="eastAsia" w:ascii="宋体" w:hAnsi="宋体" w:cs="宋体"/>
                      <w:szCs w:val="21"/>
                    </w:rPr>
                    <w:t>9%</w:t>
                  </w:r>
                </w:p>
              </w:tc>
              <w:tc>
                <w:tcPr>
                  <w:tcW w:w="2495" w:type="dxa"/>
                  <w:vAlign w:val="center"/>
                </w:tcPr>
                <w:p>
                  <w:pPr>
                    <w:jc w:val="center"/>
                    <w:rPr>
                      <w:rFonts w:ascii="宋体" w:hAnsi="宋体" w:cs="宋体"/>
                      <w:szCs w:val="21"/>
                    </w:rPr>
                  </w:pPr>
                  <w:r>
                    <w:rPr>
                      <w:rFonts w:hint="eastAsia" w:ascii="宋体" w:hAnsi="宋体" w:cs="宋体"/>
                      <w:szCs w:val="21"/>
                    </w:rPr>
                    <w:t>分部分项工程费+措施项目费+其他项目费+规费-除税甲供材料和甲供设备费/1.01</w:t>
                  </w:r>
                </w:p>
              </w:tc>
            </w:tr>
          </w:tbl>
          <w:p>
            <w:pPr>
              <w:spacing w:line="540" w:lineRule="exact"/>
              <w:rPr>
                <w:rFonts w:ascii="宋体" w:hAnsi="宋体" w:cs="宋体"/>
                <w:sz w:val="24"/>
              </w:rPr>
            </w:pPr>
          </w:p>
          <w:p>
            <w:pPr>
              <w:spacing w:line="460" w:lineRule="exact"/>
              <w:ind w:firstLine="480" w:firstLineChars="200"/>
              <w:rPr>
                <w:rFonts w:hint="eastAsia" w:ascii="宋体" w:hAnsi="宋体" w:cs="宋体"/>
                <w:sz w:val="24"/>
              </w:rPr>
            </w:pPr>
          </w:p>
          <w:p>
            <w:pPr>
              <w:spacing w:line="460" w:lineRule="exact"/>
              <w:ind w:firstLine="480" w:firstLineChars="200"/>
              <w:rPr>
                <w:rFonts w:hint="eastAsia" w:ascii="宋体" w:hAnsi="宋体" w:cs="宋体"/>
                <w:sz w:val="24"/>
              </w:rPr>
            </w:pPr>
          </w:p>
          <w:p>
            <w:pPr>
              <w:spacing w:line="460" w:lineRule="exact"/>
              <w:rPr>
                <w:b/>
                <w:bCs/>
                <w:sz w:val="24"/>
              </w:rPr>
            </w:pPr>
            <w:r>
              <w:rPr>
                <w:rFonts w:hint="eastAsia" w:ascii="宋体" w:hAnsi="宋体" w:cs="宋体"/>
                <w:b/>
                <w:bCs/>
                <w:sz w:val="24"/>
              </w:rPr>
              <w:t>七</w:t>
            </w:r>
            <w:r>
              <w:rPr>
                <w:rFonts w:ascii="宋体" w:hAnsi="宋体" w:cs="宋体"/>
                <w:b/>
                <w:bCs/>
                <w:sz w:val="24"/>
              </w:rPr>
              <w:t>、</w:t>
            </w:r>
            <w:r>
              <w:rPr>
                <w:rFonts w:hint="eastAsia"/>
                <w:b/>
                <w:bCs/>
                <w:sz w:val="24"/>
              </w:rPr>
              <w:t>关于主要材料品牌，投标人在表格的参考品牌中任选一种报价，施工单位在采购前，须向业主提交样品，由业主确认后方可进行购买, 材料推荐品牌一览表附后：</w:t>
            </w:r>
          </w:p>
          <w:p>
            <w:pPr>
              <w:spacing w:line="460" w:lineRule="exact"/>
              <w:rPr>
                <w:b/>
                <w:bCs/>
                <w:sz w:val="24"/>
              </w:rPr>
            </w:pPr>
          </w:p>
          <w:p>
            <w:pPr>
              <w:spacing w:line="460" w:lineRule="exact"/>
              <w:rPr>
                <w:b/>
                <w:bCs/>
                <w:sz w:val="24"/>
              </w:rPr>
            </w:pPr>
          </w:p>
          <w:p>
            <w:pPr>
              <w:spacing w:line="460" w:lineRule="exact"/>
              <w:rPr>
                <w:b/>
                <w:bCs/>
                <w:sz w:val="24"/>
              </w:rPr>
            </w:pPr>
          </w:p>
          <w:p>
            <w:pPr>
              <w:spacing w:line="460" w:lineRule="exact"/>
              <w:rPr>
                <w:b/>
                <w:bCs/>
                <w:sz w:val="24"/>
              </w:rPr>
            </w:pPr>
          </w:p>
          <w:tbl>
            <w:tblPr>
              <w:tblStyle w:val="7"/>
              <w:tblpPr w:leftFromText="180" w:rightFromText="180" w:vertAnchor="text" w:horzAnchor="page" w:tblpX="96" w:tblpY="455"/>
              <w:tblOverlap w:val="never"/>
              <w:tblW w:w="9463" w:type="dxa"/>
              <w:tblInd w:w="0" w:type="dxa"/>
              <w:tblLayout w:type="fixed"/>
              <w:tblCellMar>
                <w:top w:w="0" w:type="dxa"/>
                <w:left w:w="108" w:type="dxa"/>
                <w:bottom w:w="0" w:type="dxa"/>
                <w:right w:w="108" w:type="dxa"/>
              </w:tblCellMar>
            </w:tblPr>
            <w:tblGrid>
              <w:gridCol w:w="856"/>
              <w:gridCol w:w="1260"/>
              <w:gridCol w:w="1351"/>
              <w:gridCol w:w="1484"/>
              <w:gridCol w:w="1409"/>
              <w:gridCol w:w="1590"/>
              <w:gridCol w:w="1513"/>
            </w:tblGrid>
            <w:tr>
              <w:tblPrEx>
                <w:tblCellMar>
                  <w:top w:w="0" w:type="dxa"/>
                  <w:left w:w="108" w:type="dxa"/>
                  <w:bottom w:w="0" w:type="dxa"/>
                  <w:right w:w="108" w:type="dxa"/>
                </w:tblCellMar>
              </w:tblPrEx>
              <w:trPr>
                <w:trHeight w:val="624" w:hRule="atLeast"/>
              </w:trPr>
              <w:tc>
                <w:tcPr>
                  <w:tcW w:w="4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bookmarkStart w:id="0" w:name="_GoBack"/>
                  <w:r>
                    <w:rPr>
                      <w:rFonts w:hint="eastAsia" w:ascii="宋体" w:hAnsi="宋体" w:cs="宋体"/>
                      <w:color w:val="000000"/>
                      <w:kern w:val="0"/>
                      <w:sz w:val="22"/>
                      <w:szCs w:val="22"/>
                    </w:rPr>
                    <w:t>材料名称</w:t>
                  </w:r>
                </w:p>
              </w:tc>
              <w:tc>
                <w:tcPr>
                  <w:tcW w:w="665"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品牌1</w:t>
                  </w:r>
                </w:p>
              </w:tc>
              <w:tc>
                <w:tcPr>
                  <w:tcW w:w="713"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品牌2</w:t>
                  </w:r>
                </w:p>
              </w:tc>
              <w:tc>
                <w:tcPr>
                  <w:tcW w:w="784"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品牌3</w:t>
                  </w:r>
                </w:p>
              </w:tc>
              <w:tc>
                <w:tcPr>
                  <w:tcW w:w="744"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品牌4</w:t>
                  </w:r>
                </w:p>
              </w:tc>
              <w:tc>
                <w:tcPr>
                  <w:tcW w:w="840"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p>
              </w:tc>
              <w:tc>
                <w:tcPr>
                  <w:tcW w:w="799" w:type="pct"/>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2"/>
                      <w:szCs w:val="22"/>
                    </w:rPr>
                  </w:pPr>
                </w:p>
              </w:tc>
            </w:tr>
            <w:tr>
              <w:tblPrEx>
                <w:tblCellMar>
                  <w:top w:w="0" w:type="dxa"/>
                  <w:left w:w="108" w:type="dxa"/>
                  <w:bottom w:w="0" w:type="dxa"/>
                  <w:right w:w="108" w:type="dxa"/>
                </w:tblCellMar>
              </w:tblPrEx>
              <w:trPr>
                <w:trHeight w:val="624" w:hRule="atLeast"/>
              </w:trPr>
              <w:tc>
                <w:tcPr>
                  <w:tcW w:w="4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b/>
                      <w:sz w:val="28"/>
                      <w:szCs w:val="28"/>
                    </w:rPr>
                  </w:pPr>
                  <w:r>
                    <w:rPr>
                      <w:rFonts w:hint="eastAsia" w:ascii="宋体" w:hAnsi="宋体" w:cs="宋体"/>
                      <w:color w:val="000000"/>
                      <w:kern w:val="0"/>
                      <w:sz w:val="20"/>
                      <w:szCs w:val="20"/>
                    </w:rPr>
                    <w:t>不锈钢</w:t>
                  </w:r>
                </w:p>
              </w:tc>
              <w:tc>
                <w:tcPr>
                  <w:tcW w:w="665" w:type="pct"/>
                  <w:tcBorders>
                    <w:top w:val="single" w:color="auto" w:sz="4" w:space="0"/>
                    <w:left w:val="nil"/>
                    <w:bottom w:val="single" w:color="auto" w:sz="4" w:space="0"/>
                    <w:right w:val="single" w:color="auto" w:sz="4" w:space="0"/>
                  </w:tcBorders>
                  <w:shd w:val="clear" w:color="auto" w:fill="auto"/>
                  <w:vAlign w:val="center"/>
                </w:tcPr>
                <w:p>
                  <w:pPr>
                    <w:widowControl/>
                    <w:jc w:val="center"/>
                    <w:rPr>
                      <w:sz w:val="28"/>
                      <w:szCs w:val="28"/>
                    </w:rPr>
                  </w:pPr>
                  <w:r>
                    <w:rPr>
                      <w:rFonts w:hint="eastAsia" w:ascii="宋体" w:hAnsi="宋体" w:cs="宋体"/>
                      <w:color w:val="000000"/>
                      <w:kern w:val="0"/>
                      <w:sz w:val="20"/>
                      <w:szCs w:val="20"/>
                    </w:rPr>
                    <w:t>联众</w:t>
                  </w:r>
                </w:p>
              </w:tc>
              <w:tc>
                <w:tcPr>
                  <w:tcW w:w="713" w:type="pct"/>
                  <w:tcBorders>
                    <w:top w:val="single" w:color="auto" w:sz="4" w:space="0"/>
                    <w:left w:val="nil"/>
                    <w:bottom w:val="single" w:color="auto" w:sz="4" w:space="0"/>
                    <w:right w:val="single" w:color="auto" w:sz="4" w:space="0"/>
                  </w:tcBorders>
                  <w:shd w:val="clear" w:color="auto" w:fill="auto"/>
                  <w:vAlign w:val="center"/>
                </w:tcPr>
                <w:p>
                  <w:pPr>
                    <w:widowControl/>
                    <w:jc w:val="center"/>
                    <w:rPr>
                      <w:sz w:val="28"/>
                      <w:szCs w:val="28"/>
                    </w:rPr>
                  </w:pPr>
                  <w:r>
                    <w:rPr>
                      <w:rFonts w:hint="eastAsia" w:ascii="宋体" w:hAnsi="宋体" w:cs="宋体"/>
                      <w:color w:val="000000"/>
                      <w:kern w:val="0"/>
                      <w:sz w:val="20"/>
                      <w:szCs w:val="20"/>
                    </w:rPr>
                    <w:t>宝钢</w:t>
                  </w:r>
                </w:p>
              </w:tc>
              <w:tc>
                <w:tcPr>
                  <w:tcW w:w="784" w:type="pct"/>
                  <w:tcBorders>
                    <w:top w:val="single" w:color="auto" w:sz="4" w:space="0"/>
                    <w:left w:val="nil"/>
                    <w:bottom w:val="single" w:color="auto" w:sz="4" w:space="0"/>
                    <w:right w:val="single" w:color="auto" w:sz="4" w:space="0"/>
                  </w:tcBorders>
                  <w:shd w:val="clear" w:color="auto" w:fill="auto"/>
                  <w:vAlign w:val="center"/>
                </w:tcPr>
                <w:p>
                  <w:pPr>
                    <w:widowControl/>
                    <w:jc w:val="center"/>
                    <w:rPr>
                      <w:sz w:val="28"/>
                      <w:szCs w:val="28"/>
                    </w:rPr>
                  </w:pPr>
                  <w:r>
                    <w:rPr>
                      <w:rFonts w:hint="eastAsia" w:ascii="宋体" w:hAnsi="宋体" w:cs="宋体"/>
                      <w:color w:val="000000"/>
                      <w:kern w:val="0"/>
                      <w:sz w:val="20"/>
                      <w:szCs w:val="20"/>
                    </w:rPr>
                    <w:t>太原钢铁</w:t>
                  </w:r>
                </w:p>
              </w:tc>
              <w:tc>
                <w:tcPr>
                  <w:tcW w:w="744" w:type="pct"/>
                  <w:tcBorders>
                    <w:top w:val="single" w:color="auto" w:sz="4" w:space="0"/>
                    <w:left w:val="nil"/>
                    <w:bottom w:val="single" w:color="auto" w:sz="4" w:space="0"/>
                    <w:right w:val="single" w:color="auto" w:sz="4" w:space="0"/>
                  </w:tcBorders>
                  <w:shd w:val="clear" w:color="auto" w:fill="auto"/>
                  <w:vAlign w:val="center"/>
                </w:tcPr>
                <w:p>
                  <w:pPr>
                    <w:widowControl/>
                    <w:jc w:val="center"/>
                    <w:rPr>
                      <w:sz w:val="28"/>
                      <w:szCs w:val="28"/>
                    </w:rPr>
                  </w:pPr>
                  <w:r>
                    <w:rPr>
                      <w:rFonts w:hint="eastAsia" w:ascii="宋体" w:hAnsi="宋体" w:cs="宋体"/>
                      <w:color w:val="000000"/>
                      <w:kern w:val="0"/>
                      <w:sz w:val="20"/>
                      <w:szCs w:val="20"/>
                    </w:rPr>
                    <w:t>创生</w:t>
                  </w:r>
                </w:p>
              </w:tc>
              <w:tc>
                <w:tcPr>
                  <w:tcW w:w="840" w:type="pct"/>
                  <w:tcBorders>
                    <w:top w:val="single" w:color="auto" w:sz="4" w:space="0"/>
                    <w:left w:val="nil"/>
                    <w:bottom w:val="single" w:color="auto" w:sz="4" w:space="0"/>
                    <w:right w:val="single" w:color="auto" w:sz="4" w:space="0"/>
                  </w:tcBorders>
                  <w:shd w:val="clear" w:color="auto" w:fill="auto"/>
                  <w:vAlign w:val="center"/>
                </w:tcPr>
                <w:p>
                  <w:pPr>
                    <w:jc w:val="center"/>
                    <w:rPr>
                      <w:sz w:val="28"/>
                      <w:szCs w:val="28"/>
                    </w:rPr>
                  </w:pPr>
                </w:p>
              </w:tc>
              <w:tc>
                <w:tcPr>
                  <w:tcW w:w="799" w:type="pct"/>
                  <w:tcBorders>
                    <w:top w:val="single" w:color="auto" w:sz="4" w:space="0"/>
                    <w:left w:val="nil"/>
                    <w:bottom w:val="single" w:color="auto" w:sz="4" w:space="0"/>
                    <w:right w:val="single" w:color="auto" w:sz="4" w:space="0"/>
                  </w:tcBorders>
                  <w:shd w:val="clear" w:color="auto" w:fill="auto"/>
                  <w:vAlign w:val="center"/>
                </w:tcPr>
                <w:p>
                  <w:pPr>
                    <w:jc w:val="center"/>
                    <w:rPr>
                      <w:sz w:val="28"/>
                      <w:szCs w:val="28"/>
                    </w:rPr>
                  </w:pPr>
                </w:p>
              </w:tc>
            </w:tr>
            <w:tr>
              <w:tblPrEx>
                <w:tblCellMar>
                  <w:top w:w="0" w:type="dxa"/>
                  <w:left w:w="108" w:type="dxa"/>
                  <w:bottom w:w="0" w:type="dxa"/>
                  <w:right w:w="108" w:type="dxa"/>
                </w:tblCellMar>
              </w:tblPrEx>
              <w:trPr>
                <w:trHeight w:val="624"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玻璃</w:t>
                  </w:r>
                </w:p>
              </w:tc>
              <w:tc>
                <w:tcPr>
                  <w:tcW w:w="6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信义</w:t>
                  </w:r>
                </w:p>
              </w:tc>
              <w:tc>
                <w:tcPr>
                  <w:tcW w:w="71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南玻</w:t>
                  </w:r>
                </w:p>
              </w:tc>
              <w:tc>
                <w:tcPr>
                  <w:tcW w:w="78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耀皮</w:t>
                  </w:r>
                </w:p>
              </w:tc>
              <w:tc>
                <w:tcPr>
                  <w:tcW w:w="74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台玻</w:t>
                  </w:r>
                </w:p>
              </w:tc>
              <w:tc>
                <w:tcPr>
                  <w:tcW w:w="84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32"/>
                    </w:rPr>
                  </w:pPr>
                </w:p>
              </w:tc>
              <w:tc>
                <w:tcPr>
                  <w:tcW w:w="7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36"/>
                    </w:rPr>
                  </w:pPr>
                </w:p>
              </w:tc>
            </w:tr>
            <w:tr>
              <w:tblPrEx>
                <w:tblCellMar>
                  <w:top w:w="0" w:type="dxa"/>
                  <w:left w:w="108" w:type="dxa"/>
                  <w:bottom w:w="0" w:type="dxa"/>
                  <w:right w:w="108" w:type="dxa"/>
                </w:tblCellMar>
              </w:tblPrEx>
              <w:trPr>
                <w:trHeight w:val="624"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开关插座</w:t>
                  </w:r>
                </w:p>
              </w:tc>
              <w:tc>
                <w:tcPr>
                  <w:tcW w:w="66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西蒙E6系列</w:t>
                  </w:r>
                </w:p>
              </w:tc>
              <w:tc>
                <w:tcPr>
                  <w:tcW w:w="713"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西门子睿致系列</w:t>
                  </w:r>
                </w:p>
              </w:tc>
              <w:tc>
                <w:tcPr>
                  <w:tcW w:w="78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施耐德E3000系列</w:t>
                  </w:r>
                </w:p>
              </w:tc>
              <w:tc>
                <w:tcPr>
                  <w:tcW w:w="74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4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624"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rPr>
                      <w:rFonts w:hint="eastAsia" w:ascii="宋体" w:hAnsi="宋体" w:eastAsia="宋体" w:cs="Arial"/>
                      <w:color w:val="000000"/>
                      <w:kern w:val="2"/>
                      <w:sz w:val="21"/>
                      <w:szCs w:val="21"/>
                      <w:lang w:val="en-US" w:eastAsia="zh-CN" w:bidi="ar-SA"/>
                    </w:rPr>
                  </w:pPr>
                  <w:r>
                    <w:rPr>
                      <w:rFonts w:hint="eastAsia" w:cs="Arial"/>
                      <w:color w:val="000000"/>
                      <w:szCs w:val="21"/>
                      <w:lang w:val="en-US" w:eastAsia="zh-CN"/>
                    </w:rPr>
                    <w:t>PPR给水管</w:t>
                  </w:r>
                </w:p>
              </w:tc>
              <w:tc>
                <w:tcPr>
                  <w:tcW w:w="66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联塑</w:t>
                  </w:r>
                </w:p>
              </w:tc>
              <w:tc>
                <w:tcPr>
                  <w:tcW w:w="713"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伟星</w:t>
                  </w:r>
                </w:p>
              </w:tc>
              <w:tc>
                <w:tcPr>
                  <w:tcW w:w="78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日丰</w:t>
                  </w:r>
                </w:p>
              </w:tc>
              <w:tc>
                <w:tcPr>
                  <w:tcW w:w="74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金牛</w:t>
                  </w:r>
                </w:p>
              </w:tc>
              <w:tc>
                <w:tcPr>
                  <w:tcW w:w="84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624"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color w:val="000000"/>
                      <w:kern w:val="2"/>
                      <w:sz w:val="21"/>
                      <w:szCs w:val="21"/>
                      <w:lang w:val="en-US" w:eastAsia="zh-CN" w:bidi="ar-SA"/>
                    </w:rPr>
                  </w:pPr>
                  <w:r>
                    <w:rPr>
                      <w:rFonts w:hint="eastAsia" w:cs="Arial"/>
                      <w:color w:val="000000"/>
                      <w:szCs w:val="21"/>
                    </w:rPr>
                    <w:t>电缆、电线</w:t>
                  </w:r>
                </w:p>
              </w:tc>
              <w:tc>
                <w:tcPr>
                  <w:tcW w:w="66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远东</w:t>
                  </w:r>
                </w:p>
              </w:tc>
              <w:tc>
                <w:tcPr>
                  <w:tcW w:w="713"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江南</w:t>
                  </w:r>
                </w:p>
              </w:tc>
              <w:tc>
                <w:tcPr>
                  <w:tcW w:w="78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color w:val="000000"/>
                      <w:kern w:val="2"/>
                      <w:sz w:val="20"/>
                      <w:szCs w:val="20"/>
                      <w:lang w:val="en-US" w:eastAsia="zh-CN" w:bidi="ar-SA"/>
                    </w:rPr>
                  </w:pPr>
                  <w:r>
                    <w:rPr>
                      <w:rFonts w:hint="eastAsia" w:cs="Arial"/>
                      <w:color w:val="000000"/>
                      <w:sz w:val="20"/>
                      <w:szCs w:val="20"/>
                    </w:rPr>
                    <w:t>上上</w:t>
                  </w:r>
                </w:p>
              </w:tc>
              <w:tc>
                <w:tcPr>
                  <w:tcW w:w="74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kern w:val="2"/>
                      <w:sz w:val="20"/>
                      <w:szCs w:val="20"/>
                      <w:lang w:val="en-US" w:eastAsia="zh-CN" w:bidi="ar-SA"/>
                    </w:rPr>
                  </w:pPr>
                  <w:r>
                    <w:rPr>
                      <w:rFonts w:hint="eastAsia" w:cs="Arial"/>
                      <w:sz w:val="20"/>
                      <w:szCs w:val="20"/>
                    </w:rPr>
                    <w:t>中天</w:t>
                  </w:r>
                </w:p>
              </w:tc>
              <w:tc>
                <w:tcPr>
                  <w:tcW w:w="84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624"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8"/>
                      <w:szCs w:val="32"/>
                    </w:rPr>
                  </w:pPr>
                </w:p>
              </w:tc>
              <w:tc>
                <w:tcPr>
                  <w:tcW w:w="6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8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4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4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bookmarkEnd w:id="0"/>
          </w:tbl>
          <w:p>
            <w:pPr>
              <w:spacing w:line="460" w:lineRule="exact"/>
              <w:rPr>
                <w:sz w:val="24"/>
              </w:rPr>
            </w:pPr>
          </w:p>
          <w:p>
            <w:pPr>
              <w:spacing w:line="460" w:lineRule="exact"/>
              <w:rPr>
                <w:sz w:val="24"/>
              </w:rPr>
            </w:pPr>
          </w:p>
          <w:p>
            <w:pPr>
              <w:spacing w:line="460" w:lineRule="exact"/>
              <w:rPr>
                <w:sz w:val="24"/>
              </w:rPr>
            </w:pPr>
          </w:p>
          <w:p>
            <w:pPr>
              <w:spacing w:line="460" w:lineRule="exact"/>
              <w:rPr>
                <w:sz w:val="24"/>
              </w:rPr>
            </w:pPr>
          </w:p>
          <w:p>
            <w:pPr>
              <w:spacing w:line="460" w:lineRule="exact"/>
              <w:rPr>
                <w:sz w:val="24"/>
              </w:rPr>
            </w:pPr>
          </w:p>
          <w:p>
            <w:pPr>
              <w:spacing w:line="460" w:lineRule="exact"/>
              <w:rPr>
                <w:sz w:val="24"/>
              </w:rPr>
            </w:pPr>
          </w:p>
          <w:p>
            <w:pPr>
              <w:spacing w:line="460" w:lineRule="exact"/>
              <w:ind w:firstLine="480" w:firstLineChars="200"/>
              <w:rPr>
                <w:rFonts w:hint="eastAsia" w:ascii="宋体" w:hAnsi="宋体" w:cs="宋体"/>
                <w:sz w:val="24"/>
              </w:rPr>
            </w:pPr>
          </w:p>
          <w:p>
            <w:pPr>
              <w:spacing w:line="460" w:lineRule="exact"/>
              <w:rPr>
                <w:rFonts w:hint="eastAsia" w:ascii="宋体" w:hAnsi="宋体" w:cs="宋体"/>
                <w:sz w:val="24"/>
              </w:rPr>
            </w:pPr>
          </w:p>
          <w:p>
            <w:pPr>
              <w:spacing w:line="460" w:lineRule="exact"/>
              <w:ind w:firstLine="480" w:firstLineChars="200"/>
              <w:rPr>
                <w:rFonts w:hint="eastAsia" w:ascii="宋体" w:hAnsi="宋体" w:cs="宋体"/>
                <w:sz w:val="24"/>
              </w:rPr>
            </w:pPr>
          </w:p>
          <w:p>
            <w:pPr>
              <w:spacing w:line="460" w:lineRule="exact"/>
              <w:ind w:firstLine="480" w:firstLineChars="200"/>
              <w:rPr>
                <w:rFonts w:hint="eastAsia" w:ascii="宋体" w:hAnsi="宋体" w:cs="宋体"/>
                <w:sz w:val="24"/>
              </w:rPr>
            </w:pPr>
          </w:p>
          <w:p>
            <w:pPr>
              <w:spacing w:line="460" w:lineRule="exact"/>
              <w:rPr>
                <w:rFonts w:hint="eastAsia" w:ascii="宋体" w:hAnsi="宋体" w:cs="宋体"/>
                <w:sz w:val="24"/>
              </w:rPr>
            </w:pPr>
          </w:p>
        </w:tc>
      </w:tr>
    </w:tbl>
    <w:p>
      <w:pPr>
        <w:jc w:val="left"/>
        <w:rPr>
          <w:rFonts w:ascii="仿宋" w:hAnsi="仿宋" w:eastAsia="仿宋"/>
          <w:sz w:val="28"/>
          <w:szCs w:val="28"/>
        </w:rPr>
      </w:pPr>
    </w:p>
    <w:p>
      <w:pPr>
        <w:tabs>
          <w:tab w:val="left" w:pos="1743"/>
        </w:tabs>
        <w:bidi w:val="0"/>
        <w:jc w:val="left"/>
        <w:rPr>
          <w:rFonts w:ascii="Calibri" w:hAnsi="Calibri" w:eastAsia="宋体" w:cs="Times New Roman"/>
          <w:kern w:val="2"/>
          <w:sz w:val="21"/>
          <w:szCs w:val="24"/>
          <w:lang w:val="en-US" w:eastAsia="zh-CN" w:bidi="ar-SA"/>
        </w:rPr>
      </w:pPr>
    </w:p>
    <w:sectPr>
      <w:headerReference r:id="rId3" w:type="default"/>
      <w:footerReference r:id="rId4" w:type="default"/>
      <w:pgSz w:w="11906" w:h="16838"/>
      <w:pgMar w:top="1134" w:right="1134" w:bottom="1843"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402308"/>
    </w:sdtPr>
    <w:sdtContent>
      <w:p>
        <w:pPr>
          <w:pStyle w:val="4"/>
          <w:jc w:val="center"/>
        </w:pPr>
        <w:r>
          <w:fldChar w:fldCharType="begin"/>
        </w:r>
        <w:r>
          <w:instrText xml:space="preserve">PAGE   \* MERGEFORMAT</w:instrText>
        </w:r>
        <w:r>
          <w:fldChar w:fldCharType="separate"/>
        </w:r>
        <w:r>
          <w:rPr>
            <w:lang w:val="zh-CN"/>
          </w:rPr>
          <w:t>18</w:t>
        </w:r>
        <w:r>
          <w:rPr>
            <w:lang w:val="zh-CN"/>
          </w:rPr>
          <w:fldChar w:fldCharType="end"/>
        </w:r>
      </w:p>
    </w:sdtContent>
  </w:sdt>
  <w:p>
    <w:pPr>
      <w:pStyle w:val="4"/>
      <w:jc w:val="center"/>
      <w:rPr>
        <w:rFonts w:ascii="宋体" w:hAnsi="宋体"/>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6AF10"/>
    <w:multiLevelType w:val="singleLevel"/>
    <w:tmpl w:val="E596AF10"/>
    <w:lvl w:ilvl="0" w:tentative="0">
      <w:start w:val="1"/>
      <w:numFmt w:val="chineseCounting"/>
      <w:suff w:val="nothing"/>
      <w:lvlText w:val="%1、"/>
      <w:lvlJc w:val="left"/>
      <w:pPr>
        <w:ind w:left="600" w:firstLine="0"/>
      </w:pPr>
      <w:rPr>
        <w:rFonts w:hint="eastAsia"/>
      </w:rPr>
    </w:lvl>
  </w:abstractNum>
  <w:abstractNum w:abstractNumId="1">
    <w:nsid w:val="F75A1037"/>
    <w:multiLevelType w:val="singleLevel"/>
    <w:tmpl w:val="F75A1037"/>
    <w:lvl w:ilvl="0" w:tentative="0">
      <w:start w:val="4"/>
      <w:numFmt w:val="chineseCounting"/>
      <w:suff w:val="nothing"/>
      <w:lvlText w:val="%1、"/>
      <w:lvlJc w:val="left"/>
      <w:pPr>
        <w:ind w:left="720" w:firstLine="0"/>
      </w:pPr>
      <w:rPr>
        <w:rFonts w:hint="eastAsia"/>
      </w:rPr>
    </w:lvl>
  </w:abstractNum>
  <w:abstractNum w:abstractNumId="2">
    <w:nsid w:val="1C19FE8F"/>
    <w:multiLevelType w:val="singleLevel"/>
    <w:tmpl w:val="1C19FE8F"/>
    <w:lvl w:ilvl="0" w:tentative="0">
      <w:start w:val="1"/>
      <w:numFmt w:val="decimal"/>
      <w:suff w:val="nothing"/>
      <w:lvlText w:val="%1．"/>
      <w:lvlJc w:val="left"/>
      <w:pPr>
        <w:ind w:left="168" w:firstLine="400"/>
      </w:pPr>
      <w:rPr>
        <w:rFonts w:hint="default"/>
        <w:b w:val="0"/>
        <w:bCs w:val="0"/>
      </w:rPr>
    </w:lvl>
  </w:abstractNum>
  <w:abstractNum w:abstractNumId="3">
    <w:nsid w:val="5A41A88C"/>
    <w:multiLevelType w:val="singleLevel"/>
    <w:tmpl w:val="5A41A88C"/>
    <w:lvl w:ilvl="0" w:tentative="0">
      <w:start w:val="1"/>
      <w:numFmt w:val="decimal"/>
      <w:suff w:val="nothing"/>
      <w:lvlText w:val="%1．"/>
      <w:lvlJc w:val="left"/>
      <w:pPr>
        <w:ind w:left="0" w:firstLine="4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A1OGI2ODU5ZGYyM2RmNGMxZjY4MmExYjAzZmE0NmMifQ=="/>
  </w:docVars>
  <w:rsids>
    <w:rsidRoot w:val="00297D4A"/>
    <w:rsid w:val="00000246"/>
    <w:rsid w:val="00003977"/>
    <w:rsid w:val="00014EEB"/>
    <w:rsid w:val="00016FF4"/>
    <w:rsid w:val="000200B9"/>
    <w:rsid w:val="0002090B"/>
    <w:rsid w:val="00026890"/>
    <w:rsid w:val="00027BB8"/>
    <w:rsid w:val="00031E25"/>
    <w:rsid w:val="000331E9"/>
    <w:rsid w:val="00034995"/>
    <w:rsid w:val="00041217"/>
    <w:rsid w:val="00047C84"/>
    <w:rsid w:val="00050A59"/>
    <w:rsid w:val="00052131"/>
    <w:rsid w:val="00054D29"/>
    <w:rsid w:val="00055459"/>
    <w:rsid w:val="00056206"/>
    <w:rsid w:val="00056338"/>
    <w:rsid w:val="000579D4"/>
    <w:rsid w:val="00060DAD"/>
    <w:rsid w:val="00067581"/>
    <w:rsid w:val="0007526F"/>
    <w:rsid w:val="00076E3B"/>
    <w:rsid w:val="000779A0"/>
    <w:rsid w:val="0008190A"/>
    <w:rsid w:val="00081CDD"/>
    <w:rsid w:val="00083A40"/>
    <w:rsid w:val="00090FCB"/>
    <w:rsid w:val="00093672"/>
    <w:rsid w:val="000940F1"/>
    <w:rsid w:val="00095581"/>
    <w:rsid w:val="000A4CCF"/>
    <w:rsid w:val="000B2053"/>
    <w:rsid w:val="000C309F"/>
    <w:rsid w:val="000C4BE6"/>
    <w:rsid w:val="000C5DEB"/>
    <w:rsid w:val="000D18CF"/>
    <w:rsid w:val="000D3309"/>
    <w:rsid w:val="000D3376"/>
    <w:rsid w:val="000D501E"/>
    <w:rsid w:val="000D5CC3"/>
    <w:rsid w:val="000E1AE7"/>
    <w:rsid w:val="000F141A"/>
    <w:rsid w:val="000F1731"/>
    <w:rsid w:val="000F643C"/>
    <w:rsid w:val="0010059B"/>
    <w:rsid w:val="00102798"/>
    <w:rsid w:val="00104A43"/>
    <w:rsid w:val="00106C07"/>
    <w:rsid w:val="0011084D"/>
    <w:rsid w:val="00111A73"/>
    <w:rsid w:val="00115B6D"/>
    <w:rsid w:val="00116728"/>
    <w:rsid w:val="0012249F"/>
    <w:rsid w:val="00124A70"/>
    <w:rsid w:val="00126BB6"/>
    <w:rsid w:val="0013426C"/>
    <w:rsid w:val="0013671F"/>
    <w:rsid w:val="001367DC"/>
    <w:rsid w:val="00141455"/>
    <w:rsid w:val="00143A91"/>
    <w:rsid w:val="00143AF1"/>
    <w:rsid w:val="00146829"/>
    <w:rsid w:val="00152998"/>
    <w:rsid w:val="00154759"/>
    <w:rsid w:val="00154802"/>
    <w:rsid w:val="001618C9"/>
    <w:rsid w:val="00176DCA"/>
    <w:rsid w:val="00177DE7"/>
    <w:rsid w:val="00180A8B"/>
    <w:rsid w:val="00181C30"/>
    <w:rsid w:val="00183065"/>
    <w:rsid w:val="00183606"/>
    <w:rsid w:val="00183722"/>
    <w:rsid w:val="0018783A"/>
    <w:rsid w:val="00192082"/>
    <w:rsid w:val="00195D02"/>
    <w:rsid w:val="001A2392"/>
    <w:rsid w:val="001A2A8A"/>
    <w:rsid w:val="001A57D6"/>
    <w:rsid w:val="001A61A3"/>
    <w:rsid w:val="001A7358"/>
    <w:rsid w:val="001B42B9"/>
    <w:rsid w:val="001B4465"/>
    <w:rsid w:val="001B4C9F"/>
    <w:rsid w:val="001C30D4"/>
    <w:rsid w:val="001C55CB"/>
    <w:rsid w:val="001C579F"/>
    <w:rsid w:val="001C753F"/>
    <w:rsid w:val="001D32DD"/>
    <w:rsid w:val="001D74D3"/>
    <w:rsid w:val="001E0B85"/>
    <w:rsid w:val="001E54E7"/>
    <w:rsid w:val="001F0660"/>
    <w:rsid w:val="001F0DC9"/>
    <w:rsid w:val="001F2FDE"/>
    <w:rsid w:val="001F4A9A"/>
    <w:rsid w:val="0020792F"/>
    <w:rsid w:val="00210521"/>
    <w:rsid w:val="0021665F"/>
    <w:rsid w:val="002173BA"/>
    <w:rsid w:val="00217579"/>
    <w:rsid w:val="00220141"/>
    <w:rsid w:val="00222364"/>
    <w:rsid w:val="00224310"/>
    <w:rsid w:val="00227855"/>
    <w:rsid w:val="00233B88"/>
    <w:rsid w:val="00235DE7"/>
    <w:rsid w:val="00236F31"/>
    <w:rsid w:val="0024038E"/>
    <w:rsid w:val="00243814"/>
    <w:rsid w:val="00245131"/>
    <w:rsid w:val="00251146"/>
    <w:rsid w:val="00252745"/>
    <w:rsid w:val="00252E02"/>
    <w:rsid w:val="002578A4"/>
    <w:rsid w:val="002662B4"/>
    <w:rsid w:val="00267025"/>
    <w:rsid w:val="00267E10"/>
    <w:rsid w:val="002704B7"/>
    <w:rsid w:val="00271837"/>
    <w:rsid w:val="002721F8"/>
    <w:rsid w:val="002738E0"/>
    <w:rsid w:val="00274528"/>
    <w:rsid w:val="00280C57"/>
    <w:rsid w:val="002834B0"/>
    <w:rsid w:val="00284A8F"/>
    <w:rsid w:val="00287D50"/>
    <w:rsid w:val="00291B53"/>
    <w:rsid w:val="00292175"/>
    <w:rsid w:val="002948EA"/>
    <w:rsid w:val="002967C0"/>
    <w:rsid w:val="0029709C"/>
    <w:rsid w:val="00297D4A"/>
    <w:rsid w:val="002A1C3D"/>
    <w:rsid w:val="002A238B"/>
    <w:rsid w:val="002A2F69"/>
    <w:rsid w:val="002A3BB8"/>
    <w:rsid w:val="002B175C"/>
    <w:rsid w:val="002B39C0"/>
    <w:rsid w:val="002B516F"/>
    <w:rsid w:val="002C4159"/>
    <w:rsid w:val="002D56E9"/>
    <w:rsid w:val="002D5A10"/>
    <w:rsid w:val="002D740C"/>
    <w:rsid w:val="002D7EA0"/>
    <w:rsid w:val="002E0AE5"/>
    <w:rsid w:val="002E2595"/>
    <w:rsid w:val="002E264F"/>
    <w:rsid w:val="002E2766"/>
    <w:rsid w:val="002E65C1"/>
    <w:rsid w:val="002F19DB"/>
    <w:rsid w:val="002F496F"/>
    <w:rsid w:val="002F550D"/>
    <w:rsid w:val="00302E1B"/>
    <w:rsid w:val="00314ACA"/>
    <w:rsid w:val="00314D81"/>
    <w:rsid w:val="0031689D"/>
    <w:rsid w:val="00321F86"/>
    <w:rsid w:val="00325968"/>
    <w:rsid w:val="00326A08"/>
    <w:rsid w:val="00333678"/>
    <w:rsid w:val="003341A4"/>
    <w:rsid w:val="0033522E"/>
    <w:rsid w:val="003356D4"/>
    <w:rsid w:val="00341CA6"/>
    <w:rsid w:val="00342AD0"/>
    <w:rsid w:val="00345916"/>
    <w:rsid w:val="00350F3F"/>
    <w:rsid w:val="00363241"/>
    <w:rsid w:val="00364712"/>
    <w:rsid w:val="003655A1"/>
    <w:rsid w:val="00367AE5"/>
    <w:rsid w:val="003768CC"/>
    <w:rsid w:val="003822E1"/>
    <w:rsid w:val="003823C5"/>
    <w:rsid w:val="00382490"/>
    <w:rsid w:val="00385707"/>
    <w:rsid w:val="00385D51"/>
    <w:rsid w:val="00393684"/>
    <w:rsid w:val="003940EB"/>
    <w:rsid w:val="003A2831"/>
    <w:rsid w:val="003A2CE1"/>
    <w:rsid w:val="003A33C8"/>
    <w:rsid w:val="003A4CB1"/>
    <w:rsid w:val="003B35C1"/>
    <w:rsid w:val="003B58C7"/>
    <w:rsid w:val="003B7532"/>
    <w:rsid w:val="003B7D37"/>
    <w:rsid w:val="003C1B9E"/>
    <w:rsid w:val="003C5760"/>
    <w:rsid w:val="003C5831"/>
    <w:rsid w:val="003C66D0"/>
    <w:rsid w:val="003D3422"/>
    <w:rsid w:val="003D427E"/>
    <w:rsid w:val="003D7D63"/>
    <w:rsid w:val="003E4AF8"/>
    <w:rsid w:val="003F2BDD"/>
    <w:rsid w:val="003F3F27"/>
    <w:rsid w:val="003F5560"/>
    <w:rsid w:val="003F6381"/>
    <w:rsid w:val="004104E0"/>
    <w:rsid w:val="004108F2"/>
    <w:rsid w:val="00414629"/>
    <w:rsid w:val="004274BE"/>
    <w:rsid w:val="0043078A"/>
    <w:rsid w:val="00436112"/>
    <w:rsid w:val="0043734F"/>
    <w:rsid w:val="00437FD2"/>
    <w:rsid w:val="00444F78"/>
    <w:rsid w:val="00447220"/>
    <w:rsid w:val="00450C5F"/>
    <w:rsid w:val="00453C4F"/>
    <w:rsid w:val="00454905"/>
    <w:rsid w:val="00455104"/>
    <w:rsid w:val="004555CB"/>
    <w:rsid w:val="004601C1"/>
    <w:rsid w:val="00461B95"/>
    <w:rsid w:val="0046244F"/>
    <w:rsid w:val="004634CE"/>
    <w:rsid w:val="004660AF"/>
    <w:rsid w:val="00473CBE"/>
    <w:rsid w:val="00480057"/>
    <w:rsid w:val="00482A53"/>
    <w:rsid w:val="00483501"/>
    <w:rsid w:val="00484CC8"/>
    <w:rsid w:val="00494CFD"/>
    <w:rsid w:val="00495CA0"/>
    <w:rsid w:val="004A028B"/>
    <w:rsid w:val="004A1C63"/>
    <w:rsid w:val="004A563E"/>
    <w:rsid w:val="004B3131"/>
    <w:rsid w:val="004B3789"/>
    <w:rsid w:val="004B451F"/>
    <w:rsid w:val="004C5090"/>
    <w:rsid w:val="004C605B"/>
    <w:rsid w:val="004C7D98"/>
    <w:rsid w:val="004D30FA"/>
    <w:rsid w:val="004D32F1"/>
    <w:rsid w:val="004D6949"/>
    <w:rsid w:val="004E1975"/>
    <w:rsid w:val="004F3022"/>
    <w:rsid w:val="004F3566"/>
    <w:rsid w:val="004F43CE"/>
    <w:rsid w:val="004F6DBC"/>
    <w:rsid w:val="00500811"/>
    <w:rsid w:val="00501001"/>
    <w:rsid w:val="005035F9"/>
    <w:rsid w:val="00505B1D"/>
    <w:rsid w:val="00507C90"/>
    <w:rsid w:val="00512708"/>
    <w:rsid w:val="005249D9"/>
    <w:rsid w:val="00530F3C"/>
    <w:rsid w:val="0053402A"/>
    <w:rsid w:val="005351DA"/>
    <w:rsid w:val="00535B89"/>
    <w:rsid w:val="00537D76"/>
    <w:rsid w:val="0054292D"/>
    <w:rsid w:val="00546595"/>
    <w:rsid w:val="0054760D"/>
    <w:rsid w:val="00555DA3"/>
    <w:rsid w:val="00566FB8"/>
    <w:rsid w:val="00567B6D"/>
    <w:rsid w:val="00574B4B"/>
    <w:rsid w:val="00575D67"/>
    <w:rsid w:val="005806DD"/>
    <w:rsid w:val="00584BA0"/>
    <w:rsid w:val="00590394"/>
    <w:rsid w:val="005918B6"/>
    <w:rsid w:val="005A0E50"/>
    <w:rsid w:val="005A13FF"/>
    <w:rsid w:val="005B06A6"/>
    <w:rsid w:val="005B4EB4"/>
    <w:rsid w:val="005B684A"/>
    <w:rsid w:val="005B7699"/>
    <w:rsid w:val="005C51C6"/>
    <w:rsid w:val="005D3DA9"/>
    <w:rsid w:val="005D48A0"/>
    <w:rsid w:val="005D75B5"/>
    <w:rsid w:val="005D7A04"/>
    <w:rsid w:val="005E10F9"/>
    <w:rsid w:val="005E3DED"/>
    <w:rsid w:val="005F21EE"/>
    <w:rsid w:val="005F322C"/>
    <w:rsid w:val="005F76D4"/>
    <w:rsid w:val="006014F5"/>
    <w:rsid w:val="00604EBD"/>
    <w:rsid w:val="00610FF1"/>
    <w:rsid w:val="00613E14"/>
    <w:rsid w:val="00614078"/>
    <w:rsid w:val="00615919"/>
    <w:rsid w:val="00617C61"/>
    <w:rsid w:val="0062057E"/>
    <w:rsid w:val="006220A1"/>
    <w:rsid w:val="00623BC5"/>
    <w:rsid w:val="00625F5F"/>
    <w:rsid w:val="00626972"/>
    <w:rsid w:val="00631ECC"/>
    <w:rsid w:val="00634515"/>
    <w:rsid w:val="0063663A"/>
    <w:rsid w:val="006447D8"/>
    <w:rsid w:val="00646CB2"/>
    <w:rsid w:val="006512E8"/>
    <w:rsid w:val="00653DD1"/>
    <w:rsid w:val="00654552"/>
    <w:rsid w:val="00656438"/>
    <w:rsid w:val="00662E48"/>
    <w:rsid w:val="0066366E"/>
    <w:rsid w:val="006652F8"/>
    <w:rsid w:val="0066760C"/>
    <w:rsid w:val="00670872"/>
    <w:rsid w:val="00672D35"/>
    <w:rsid w:val="00680946"/>
    <w:rsid w:val="00685787"/>
    <w:rsid w:val="00685A41"/>
    <w:rsid w:val="00687376"/>
    <w:rsid w:val="0069010D"/>
    <w:rsid w:val="0069177F"/>
    <w:rsid w:val="0069184F"/>
    <w:rsid w:val="00691FC0"/>
    <w:rsid w:val="006954F7"/>
    <w:rsid w:val="00696CDA"/>
    <w:rsid w:val="006A300E"/>
    <w:rsid w:val="006A441E"/>
    <w:rsid w:val="006A5DBC"/>
    <w:rsid w:val="006A743B"/>
    <w:rsid w:val="006A7805"/>
    <w:rsid w:val="006B3B9E"/>
    <w:rsid w:val="006B3CD2"/>
    <w:rsid w:val="006B4AFE"/>
    <w:rsid w:val="006B5F14"/>
    <w:rsid w:val="006B7CB8"/>
    <w:rsid w:val="006C4D44"/>
    <w:rsid w:val="006C4EE7"/>
    <w:rsid w:val="006C5AAF"/>
    <w:rsid w:val="006D1594"/>
    <w:rsid w:val="006D35E0"/>
    <w:rsid w:val="006D371E"/>
    <w:rsid w:val="006D5905"/>
    <w:rsid w:val="006D75E7"/>
    <w:rsid w:val="006E003A"/>
    <w:rsid w:val="006E01AD"/>
    <w:rsid w:val="006E2685"/>
    <w:rsid w:val="006E589F"/>
    <w:rsid w:val="006E5C17"/>
    <w:rsid w:val="006F02AD"/>
    <w:rsid w:val="006F03B3"/>
    <w:rsid w:val="006F1822"/>
    <w:rsid w:val="006F2C5C"/>
    <w:rsid w:val="00707F3A"/>
    <w:rsid w:val="00710887"/>
    <w:rsid w:val="00712FA4"/>
    <w:rsid w:val="00716279"/>
    <w:rsid w:val="00717541"/>
    <w:rsid w:val="00725418"/>
    <w:rsid w:val="00726203"/>
    <w:rsid w:val="007262A8"/>
    <w:rsid w:val="00736E96"/>
    <w:rsid w:val="00746945"/>
    <w:rsid w:val="007471C4"/>
    <w:rsid w:val="00747AB9"/>
    <w:rsid w:val="00747FDF"/>
    <w:rsid w:val="00750352"/>
    <w:rsid w:val="00751C25"/>
    <w:rsid w:val="00753418"/>
    <w:rsid w:val="007558F3"/>
    <w:rsid w:val="00756B96"/>
    <w:rsid w:val="00757BB5"/>
    <w:rsid w:val="007616D0"/>
    <w:rsid w:val="007658BB"/>
    <w:rsid w:val="00770850"/>
    <w:rsid w:val="0077475D"/>
    <w:rsid w:val="00774AC1"/>
    <w:rsid w:val="0077642F"/>
    <w:rsid w:val="00776F78"/>
    <w:rsid w:val="00785B18"/>
    <w:rsid w:val="00786CBC"/>
    <w:rsid w:val="00792127"/>
    <w:rsid w:val="007926FC"/>
    <w:rsid w:val="00793192"/>
    <w:rsid w:val="007A5349"/>
    <w:rsid w:val="007A7388"/>
    <w:rsid w:val="007B188C"/>
    <w:rsid w:val="007B1E3A"/>
    <w:rsid w:val="007B1E44"/>
    <w:rsid w:val="007B41F7"/>
    <w:rsid w:val="007B4686"/>
    <w:rsid w:val="007C546C"/>
    <w:rsid w:val="007C78EE"/>
    <w:rsid w:val="007D221F"/>
    <w:rsid w:val="007D4E28"/>
    <w:rsid w:val="007E1804"/>
    <w:rsid w:val="007E3D3C"/>
    <w:rsid w:val="007E4A92"/>
    <w:rsid w:val="007E4C34"/>
    <w:rsid w:val="007F20A2"/>
    <w:rsid w:val="00800826"/>
    <w:rsid w:val="008127E4"/>
    <w:rsid w:val="008356F3"/>
    <w:rsid w:val="00837B13"/>
    <w:rsid w:val="008410AF"/>
    <w:rsid w:val="00842951"/>
    <w:rsid w:val="00842CEF"/>
    <w:rsid w:val="00852654"/>
    <w:rsid w:val="00853537"/>
    <w:rsid w:val="0085554B"/>
    <w:rsid w:val="00862278"/>
    <w:rsid w:val="008655F7"/>
    <w:rsid w:val="0086622D"/>
    <w:rsid w:val="00870A49"/>
    <w:rsid w:val="00870F7C"/>
    <w:rsid w:val="00872A9D"/>
    <w:rsid w:val="00872E54"/>
    <w:rsid w:val="008764C0"/>
    <w:rsid w:val="0087742A"/>
    <w:rsid w:val="008812D0"/>
    <w:rsid w:val="00882809"/>
    <w:rsid w:val="008850EE"/>
    <w:rsid w:val="00891480"/>
    <w:rsid w:val="00891FCE"/>
    <w:rsid w:val="0089229D"/>
    <w:rsid w:val="008A0416"/>
    <w:rsid w:val="008A2684"/>
    <w:rsid w:val="008A33D3"/>
    <w:rsid w:val="008A414A"/>
    <w:rsid w:val="008A4772"/>
    <w:rsid w:val="008A48E6"/>
    <w:rsid w:val="008A4BA8"/>
    <w:rsid w:val="008B409E"/>
    <w:rsid w:val="008B4997"/>
    <w:rsid w:val="008B4A71"/>
    <w:rsid w:val="008C3114"/>
    <w:rsid w:val="008C6789"/>
    <w:rsid w:val="008D0680"/>
    <w:rsid w:val="008D0F47"/>
    <w:rsid w:val="008D1F0D"/>
    <w:rsid w:val="008D4B12"/>
    <w:rsid w:val="008D78E5"/>
    <w:rsid w:val="008E3132"/>
    <w:rsid w:val="008E5662"/>
    <w:rsid w:val="008E6D28"/>
    <w:rsid w:val="008F2FBE"/>
    <w:rsid w:val="00906B3E"/>
    <w:rsid w:val="00917761"/>
    <w:rsid w:val="009311EA"/>
    <w:rsid w:val="0093264A"/>
    <w:rsid w:val="00933B3E"/>
    <w:rsid w:val="00933B60"/>
    <w:rsid w:val="009340EB"/>
    <w:rsid w:val="00936BAD"/>
    <w:rsid w:val="00944E58"/>
    <w:rsid w:val="00944F2F"/>
    <w:rsid w:val="009517B8"/>
    <w:rsid w:val="0096191F"/>
    <w:rsid w:val="00961A89"/>
    <w:rsid w:val="00964E62"/>
    <w:rsid w:val="00965BC8"/>
    <w:rsid w:val="00965FFF"/>
    <w:rsid w:val="0097079E"/>
    <w:rsid w:val="009723CE"/>
    <w:rsid w:val="00972CCB"/>
    <w:rsid w:val="009768A9"/>
    <w:rsid w:val="009803CB"/>
    <w:rsid w:val="0098051B"/>
    <w:rsid w:val="00980C68"/>
    <w:rsid w:val="00983474"/>
    <w:rsid w:val="009854F8"/>
    <w:rsid w:val="00986F71"/>
    <w:rsid w:val="00995B5B"/>
    <w:rsid w:val="009967C5"/>
    <w:rsid w:val="009A7B71"/>
    <w:rsid w:val="009B13CB"/>
    <w:rsid w:val="009B13D1"/>
    <w:rsid w:val="009B58E4"/>
    <w:rsid w:val="009C14ED"/>
    <w:rsid w:val="009C50E2"/>
    <w:rsid w:val="009C6C64"/>
    <w:rsid w:val="009D247E"/>
    <w:rsid w:val="009D26E3"/>
    <w:rsid w:val="009D466A"/>
    <w:rsid w:val="009D4F96"/>
    <w:rsid w:val="009E24F4"/>
    <w:rsid w:val="009E3538"/>
    <w:rsid w:val="009E535C"/>
    <w:rsid w:val="00A00425"/>
    <w:rsid w:val="00A00877"/>
    <w:rsid w:val="00A020AD"/>
    <w:rsid w:val="00A06AC2"/>
    <w:rsid w:val="00A07D24"/>
    <w:rsid w:val="00A104CE"/>
    <w:rsid w:val="00A11CC6"/>
    <w:rsid w:val="00A13337"/>
    <w:rsid w:val="00A21260"/>
    <w:rsid w:val="00A23665"/>
    <w:rsid w:val="00A23E5A"/>
    <w:rsid w:val="00A27133"/>
    <w:rsid w:val="00A27B22"/>
    <w:rsid w:val="00A31487"/>
    <w:rsid w:val="00A317EC"/>
    <w:rsid w:val="00A33177"/>
    <w:rsid w:val="00A34D82"/>
    <w:rsid w:val="00A36899"/>
    <w:rsid w:val="00A439F7"/>
    <w:rsid w:val="00A4514D"/>
    <w:rsid w:val="00A511F0"/>
    <w:rsid w:val="00A5303B"/>
    <w:rsid w:val="00A545DF"/>
    <w:rsid w:val="00A55AF3"/>
    <w:rsid w:val="00A57464"/>
    <w:rsid w:val="00A57E55"/>
    <w:rsid w:val="00A61D90"/>
    <w:rsid w:val="00A633C4"/>
    <w:rsid w:val="00A63A87"/>
    <w:rsid w:val="00A72EBE"/>
    <w:rsid w:val="00A73438"/>
    <w:rsid w:val="00A7548E"/>
    <w:rsid w:val="00A75CEE"/>
    <w:rsid w:val="00A805AE"/>
    <w:rsid w:val="00A840E5"/>
    <w:rsid w:val="00A86403"/>
    <w:rsid w:val="00A907D6"/>
    <w:rsid w:val="00A92637"/>
    <w:rsid w:val="00A938EF"/>
    <w:rsid w:val="00A97B2E"/>
    <w:rsid w:val="00AA58E3"/>
    <w:rsid w:val="00AB1401"/>
    <w:rsid w:val="00AB2085"/>
    <w:rsid w:val="00AC3066"/>
    <w:rsid w:val="00AC5232"/>
    <w:rsid w:val="00AC65AF"/>
    <w:rsid w:val="00AD4140"/>
    <w:rsid w:val="00AD5E6E"/>
    <w:rsid w:val="00AD6D63"/>
    <w:rsid w:val="00AE1033"/>
    <w:rsid w:val="00AE49D1"/>
    <w:rsid w:val="00AE4CB7"/>
    <w:rsid w:val="00AE5938"/>
    <w:rsid w:val="00AE61F7"/>
    <w:rsid w:val="00AE6A47"/>
    <w:rsid w:val="00AF01AF"/>
    <w:rsid w:val="00AF637B"/>
    <w:rsid w:val="00AF7AE8"/>
    <w:rsid w:val="00B10E31"/>
    <w:rsid w:val="00B14436"/>
    <w:rsid w:val="00B1472B"/>
    <w:rsid w:val="00B2254C"/>
    <w:rsid w:val="00B22E0E"/>
    <w:rsid w:val="00B239EE"/>
    <w:rsid w:val="00B32A19"/>
    <w:rsid w:val="00B3512B"/>
    <w:rsid w:val="00B35D85"/>
    <w:rsid w:val="00B3679B"/>
    <w:rsid w:val="00B367A0"/>
    <w:rsid w:val="00B36808"/>
    <w:rsid w:val="00B375B0"/>
    <w:rsid w:val="00B4251D"/>
    <w:rsid w:val="00B4324F"/>
    <w:rsid w:val="00B45F94"/>
    <w:rsid w:val="00B464F4"/>
    <w:rsid w:val="00B46A63"/>
    <w:rsid w:val="00B564F7"/>
    <w:rsid w:val="00B627C5"/>
    <w:rsid w:val="00B64263"/>
    <w:rsid w:val="00B6589F"/>
    <w:rsid w:val="00B66473"/>
    <w:rsid w:val="00B67195"/>
    <w:rsid w:val="00B67FAD"/>
    <w:rsid w:val="00B70A7B"/>
    <w:rsid w:val="00B824FC"/>
    <w:rsid w:val="00B841EA"/>
    <w:rsid w:val="00B93B3B"/>
    <w:rsid w:val="00BA0947"/>
    <w:rsid w:val="00BA702A"/>
    <w:rsid w:val="00BA78F9"/>
    <w:rsid w:val="00BB270D"/>
    <w:rsid w:val="00BB6729"/>
    <w:rsid w:val="00BB7F44"/>
    <w:rsid w:val="00BC1430"/>
    <w:rsid w:val="00BC2AC9"/>
    <w:rsid w:val="00BC530B"/>
    <w:rsid w:val="00BD4150"/>
    <w:rsid w:val="00BD7C23"/>
    <w:rsid w:val="00BE37D8"/>
    <w:rsid w:val="00BE3CB2"/>
    <w:rsid w:val="00BE4D16"/>
    <w:rsid w:val="00BF1833"/>
    <w:rsid w:val="00BF1BBE"/>
    <w:rsid w:val="00BF2F4D"/>
    <w:rsid w:val="00BF312F"/>
    <w:rsid w:val="00BF52E9"/>
    <w:rsid w:val="00C0273C"/>
    <w:rsid w:val="00C10E36"/>
    <w:rsid w:val="00C11B61"/>
    <w:rsid w:val="00C20F6D"/>
    <w:rsid w:val="00C21FC3"/>
    <w:rsid w:val="00C30406"/>
    <w:rsid w:val="00C325B2"/>
    <w:rsid w:val="00C34619"/>
    <w:rsid w:val="00C35269"/>
    <w:rsid w:val="00C35FA1"/>
    <w:rsid w:val="00C36155"/>
    <w:rsid w:val="00C446D3"/>
    <w:rsid w:val="00C45F9C"/>
    <w:rsid w:val="00C50AB3"/>
    <w:rsid w:val="00C54A7C"/>
    <w:rsid w:val="00C57CD4"/>
    <w:rsid w:val="00C63DC9"/>
    <w:rsid w:val="00C67CA6"/>
    <w:rsid w:val="00C71887"/>
    <w:rsid w:val="00C71DDE"/>
    <w:rsid w:val="00C74531"/>
    <w:rsid w:val="00C75740"/>
    <w:rsid w:val="00C85E01"/>
    <w:rsid w:val="00C87CCA"/>
    <w:rsid w:val="00C92158"/>
    <w:rsid w:val="00C92527"/>
    <w:rsid w:val="00C93474"/>
    <w:rsid w:val="00C95D9F"/>
    <w:rsid w:val="00C963C8"/>
    <w:rsid w:val="00CA3DDB"/>
    <w:rsid w:val="00CA4643"/>
    <w:rsid w:val="00CB529F"/>
    <w:rsid w:val="00CB5A95"/>
    <w:rsid w:val="00CB7985"/>
    <w:rsid w:val="00CC168E"/>
    <w:rsid w:val="00CC531F"/>
    <w:rsid w:val="00CC62B3"/>
    <w:rsid w:val="00CC6917"/>
    <w:rsid w:val="00CC7A7E"/>
    <w:rsid w:val="00CD1774"/>
    <w:rsid w:val="00CD3FE1"/>
    <w:rsid w:val="00CD67E1"/>
    <w:rsid w:val="00CD6E9E"/>
    <w:rsid w:val="00CE0CBB"/>
    <w:rsid w:val="00CE0EDC"/>
    <w:rsid w:val="00CE40A3"/>
    <w:rsid w:val="00CE4EBE"/>
    <w:rsid w:val="00CE53A9"/>
    <w:rsid w:val="00CF3275"/>
    <w:rsid w:val="00CF3448"/>
    <w:rsid w:val="00CF44EA"/>
    <w:rsid w:val="00CF4859"/>
    <w:rsid w:val="00D0052B"/>
    <w:rsid w:val="00D026E1"/>
    <w:rsid w:val="00D0434B"/>
    <w:rsid w:val="00D057CD"/>
    <w:rsid w:val="00D14AE0"/>
    <w:rsid w:val="00D15E71"/>
    <w:rsid w:val="00D202C7"/>
    <w:rsid w:val="00D22EA0"/>
    <w:rsid w:val="00D23466"/>
    <w:rsid w:val="00D249AE"/>
    <w:rsid w:val="00D321D1"/>
    <w:rsid w:val="00D3303A"/>
    <w:rsid w:val="00D41AB0"/>
    <w:rsid w:val="00D50FF0"/>
    <w:rsid w:val="00D512EA"/>
    <w:rsid w:val="00D54395"/>
    <w:rsid w:val="00D56054"/>
    <w:rsid w:val="00D63048"/>
    <w:rsid w:val="00D66679"/>
    <w:rsid w:val="00D66BF1"/>
    <w:rsid w:val="00D71DA4"/>
    <w:rsid w:val="00D73C50"/>
    <w:rsid w:val="00D765D5"/>
    <w:rsid w:val="00D7728E"/>
    <w:rsid w:val="00D77B88"/>
    <w:rsid w:val="00D82F54"/>
    <w:rsid w:val="00D85D15"/>
    <w:rsid w:val="00D862FA"/>
    <w:rsid w:val="00D87149"/>
    <w:rsid w:val="00D93545"/>
    <w:rsid w:val="00DA608C"/>
    <w:rsid w:val="00DA632E"/>
    <w:rsid w:val="00DB117B"/>
    <w:rsid w:val="00DB50EF"/>
    <w:rsid w:val="00DB5C77"/>
    <w:rsid w:val="00DC1390"/>
    <w:rsid w:val="00DC1550"/>
    <w:rsid w:val="00DC406F"/>
    <w:rsid w:val="00DD0AFB"/>
    <w:rsid w:val="00DD438B"/>
    <w:rsid w:val="00DD47D6"/>
    <w:rsid w:val="00DE5467"/>
    <w:rsid w:val="00DF0931"/>
    <w:rsid w:val="00DF0ADC"/>
    <w:rsid w:val="00DF1387"/>
    <w:rsid w:val="00DF2649"/>
    <w:rsid w:val="00DF41EA"/>
    <w:rsid w:val="00DF537F"/>
    <w:rsid w:val="00E013C0"/>
    <w:rsid w:val="00E03E71"/>
    <w:rsid w:val="00E11351"/>
    <w:rsid w:val="00E15EDB"/>
    <w:rsid w:val="00E257EE"/>
    <w:rsid w:val="00E26646"/>
    <w:rsid w:val="00E27D51"/>
    <w:rsid w:val="00E3635B"/>
    <w:rsid w:val="00E40F03"/>
    <w:rsid w:val="00E42483"/>
    <w:rsid w:val="00E44F99"/>
    <w:rsid w:val="00E4633C"/>
    <w:rsid w:val="00E47D09"/>
    <w:rsid w:val="00E47DA2"/>
    <w:rsid w:val="00E55425"/>
    <w:rsid w:val="00E57982"/>
    <w:rsid w:val="00E64981"/>
    <w:rsid w:val="00E649A0"/>
    <w:rsid w:val="00E67DCF"/>
    <w:rsid w:val="00E73520"/>
    <w:rsid w:val="00E73BCC"/>
    <w:rsid w:val="00E75384"/>
    <w:rsid w:val="00E76A6F"/>
    <w:rsid w:val="00E8248E"/>
    <w:rsid w:val="00E86E81"/>
    <w:rsid w:val="00E95240"/>
    <w:rsid w:val="00E97C91"/>
    <w:rsid w:val="00EA2634"/>
    <w:rsid w:val="00EA3D9E"/>
    <w:rsid w:val="00EB04BC"/>
    <w:rsid w:val="00EB053E"/>
    <w:rsid w:val="00EC3872"/>
    <w:rsid w:val="00EC489F"/>
    <w:rsid w:val="00EC71FF"/>
    <w:rsid w:val="00ED2BE9"/>
    <w:rsid w:val="00ED3709"/>
    <w:rsid w:val="00ED3862"/>
    <w:rsid w:val="00ED3A53"/>
    <w:rsid w:val="00ED50CE"/>
    <w:rsid w:val="00EE181C"/>
    <w:rsid w:val="00EE1B65"/>
    <w:rsid w:val="00EF06C0"/>
    <w:rsid w:val="00EF7911"/>
    <w:rsid w:val="00F046C1"/>
    <w:rsid w:val="00F0680C"/>
    <w:rsid w:val="00F06E99"/>
    <w:rsid w:val="00F173AF"/>
    <w:rsid w:val="00F2049F"/>
    <w:rsid w:val="00F23BBB"/>
    <w:rsid w:val="00F23FE0"/>
    <w:rsid w:val="00F24A5B"/>
    <w:rsid w:val="00F26B7D"/>
    <w:rsid w:val="00F279CA"/>
    <w:rsid w:val="00F32EBB"/>
    <w:rsid w:val="00F354D8"/>
    <w:rsid w:val="00F360D3"/>
    <w:rsid w:val="00F36C6F"/>
    <w:rsid w:val="00F37AE0"/>
    <w:rsid w:val="00F37EBB"/>
    <w:rsid w:val="00F40B11"/>
    <w:rsid w:val="00F420C5"/>
    <w:rsid w:val="00F445D9"/>
    <w:rsid w:val="00F45716"/>
    <w:rsid w:val="00F53AEC"/>
    <w:rsid w:val="00F55582"/>
    <w:rsid w:val="00F67A30"/>
    <w:rsid w:val="00F701C9"/>
    <w:rsid w:val="00F70FC2"/>
    <w:rsid w:val="00F73A98"/>
    <w:rsid w:val="00F7440F"/>
    <w:rsid w:val="00F74871"/>
    <w:rsid w:val="00F80AB6"/>
    <w:rsid w:val="00F8446E"/>
    <w:rsid w:val="00F85C52"/>
    <w:rsid w:val="00F95DAD"/>
    <w:rsid w:val="00F97A77"/>
    <w:rsid w:val="00FA1DE7"/>
    <w:rsid w:val="00FA21BD"/>
    <w:rsid w:val="00FA352B"/>
    <w:rsid w:val="00FA718F"/>
    <w:rsid w:val="00FA7B37"/>
    <w:rsid w:val="00FB40E8"/>
    <w:rsid w:val="00FC0DFB"/>
    <w:rsid w:val="00FC409D"/>
    <w:rsid w:val="00FC6565"/>
    <w:rsid w:val="00FC763F"/>
    <w:rsid w:val="00FD0FE2"/>
    <w:rsid w:val="00FD12BD"/>
    <w:rsid w:val="00FD4353"/>
    <w:rsid w:val="00FD4A75"/>
    <w:rsid w:val="00FD64E2"/>
    <w:rsid w:val="00FE0A75"/>
    <w:rsid w:val="00FE10AA"/>
    <w:rsid w:val="00FE33A3"/>
    <w:rsid w:val="00FE46F0"/>
    <w:rsid w:val="00FE4D18"/>
    <w:rsid w:val="00FE766D"/>
    <w:rsid w:val="00FE7C78"/>
    <w:rsid w:val="00FF280A"/>
    <w:rsid w:val="00FF325E"/>
    <w:rsid w:val="00FF67C5"/>
    <w:rsid w:val="01302CFD"/>
    <w:rsid w:val="01C64DC0"/>
    <w:rsid w:val="02284F27"/>
    <w:rsid w:val="02536EC3"/>
    <w:rsid w:val="02F7378D"/>
    <w:rsid w:val="032C6838"/>
    <w:rsid w:val="03E55392"/>
    <w:rsid w:val="04385C89"/>
    <w:rsid w:val="046F7D68"/>
    <w:rsid w:val="049D6B91"/>
    <w:rsid w:val="057A3EB1"/>
    <w:rsid w:val="06E90247"/>
    <w:rsid w:val="07B53921"/>
    <w:rsid w:val="083A3D3F"/>
    <w:rsid w:val="093E2BFF"/>
    <w:rsid w:val="0AD90297"/>
    <w:rsid w:val="0B2A54F5"/>
    <w:rsid w:val="0B646ECD"/>
    <w:rsid w:val="0B75158A"/>
    <w:rsid w:val="0BD63169"/>
    <w:rsid w:val="0C6C1D21"/>
    <w:rsid w:val="0DF80435"/>
    <w:rsid w:val="0E2F0B88"/>
    <w:rsid w:val="0F1327E8"/>
    <w:rsid w:val="0F456F1C"/>
    <w:rsid w:val="0F9044EE"/>
    <w:rsid w:val="101E2A35"/>
    <w:rsid w:val="104253F2"/>
    <w:rsid w:val="10F5083B"/>
    <w:rsid w:val="12E50897"/>
    <w:rsid w:val="16641A48"/>
    <w:rsid w:val="169C1F73"/>
    <w:rsid w:val="16B44A41"/>
    <w:rsid w:val="171C237C"/>
    <w:rsid w:val="1A1D3DE3"/>
    <w:rsid w:val="1A2E435B"/>
    <w:rsid w:val="1B222F1C"/>
    <w:rsid w:val="1C9143F2"/>
    <w:rsid w:val="1E470CF3"/>
    <w:rsid w:val="1E581A96"/>
    <w:rsid w:val="1F706AFD"/>
    <w:rsid w:val="208A55A9"/>
    <w:rsid w:val="20BF1BFF"/>
    <w:rsid w:val="20C02FD5"/>
    <w:rsid w:val="21343DD6"/>
    <w:rsid w:val="22F465CD"/>
    <w:rsid w:val="2302459A"/>
    <w:rsid w:val="23796409"/>
    <w:rsid w:val="252401E6"/>
    <w:rsid w:val="262748F5"/>
    <w:rsid w:val="268B4397"/>
    <w:rsid w:val="2867317C"/>
    <w:rsid w:val="28A102DD"/>
    <w:rsid w:val="28AB36BC"/>
    <w:rsid w:val="293A4789"/>
    <w:rsid w:val="297E3ACA"/>
    <w:rsid w:val="29F12B29"/>
    <w:rsid w:val="2AE86E83"/>
    <w:rsid w:val="2B233ED6"/>
    <w:rsid w:val="2BA26442"/>
    <w:rsid w:val="2BFF1B03"/>
    <w:rsid w:val="2CDD70F0"/>
    <w:rsid w:val="2D9432EC"/>
    <w:rsid w:val="2DB34D1A"/>
    <w:rsid w:val="2E8807C2"/>
    <w:rsid w:val="2F34245C"/>
    <w:rsid w:val="2F582A5A"/>
    <w:rsid w:val="2F8443DA"/>
    <w:rsid w:val="30314772"/>
    <w:rsid w:val="30642DEF"/>
    <w:rsid w:val="312D7DFA"/>
    <w:rsid w:val="328B17C0"/>
    <w:rsid w:val="32924480"/>
    <w:rsid w:val="342C357C"/>
    <w:rsid w:val="35043736"/>
    <w:rsid w:val="351E7F82"/>
    <w:rsid w:val="35317311"/>
    <w:rsid w:val="35762741"/>
    <w:rsid w:val="35916C1E"/>
    <w:rsid w:val="359D4FBD"/>
    <w:rsid w:val="35BB772C"/>
    <w:rsid w:val="35DA6E0D"/>
    <w:rsid w:val="36EA121E"/>
    <w:rsid w:val="37037D01"/>
    <w:rsid w:val="382D1AF4"/>
    <w:rsid w:val="38B5646C"/>
    <w:rsid w:val="3A8076B3"/>
    <w:rsid w:val="3B185EC5"/>
    <w:rsid w:val="3BA91AE7"/>
    <w:rsid w:val="3C0424CF"/>
    <w:rsid w:val="3C9972FB"/>
    <w:rsid w:val="3CCF7D09"/>
    <w:rsid w:val="3DDE05D1"/>
    <w:rsid w:val="3F743658"/>
    <w:rsid w:val="40033595"/>
    <w:rsid w:val="4081496F"/>
    <w:rsid w:val="40883E69"/>
    <w:rsid w:val="41B10A23"/>
    <w:rsid w:val="4261316F"/>
    <w:rsid w:val="42BF150C"/>
    <w:rsid w:val="42D20967"/>
    <w:rsid w:val="42E21D6A"/>
    <w:rsid w:val="435A3C9A"/>
    <w:rsid w:val="43C33779"/>
    <w:rsid w:val="43D77168"/>
    <w:rsid w:val="448C73D1"/>
    <w:rsid w:val="46CC62EF"/>
    <w:rsid w:val="46DE02EC"/>
    <w:rsid w:val="47402531"/>
    <w:rsid w:val="475C3CBA"/>
    <w:rsid w:val="4767226C"/>
    <w:rsid w:val="48E8249E"/>
    <w:rsid w:val="493365D7"/>
    <w:rsid w:val="49610182"/>
    <w:rsid w:val="49AF0336"/>
    <w:rsid w:val="4B0F52D8"/>
    <w:rsid w:val="4BA72871"/>
    <w:rsid w:val="4C68242B"/>
    <w:rsid w:val="4E9B4E41"/>
    <w:rsid w:val="4EB940F3"/>
    <w:rsid w:val="4EC56F8A"/>
    <w:rsid w:val="50787650"/>
    <w:rsid w:val="50943EB7"/>
    <w:rsid w:val="51CC2E9C"/>
    <w:rsid w:val="51EC5345"/>
    <w:rsid w:val="53245810"/>
    <w:rsid w:val="543B6732"/>
    <w:rsid w:val="54F8294B"/>
    <w:rsid w:val="55652B9A"/>
    <w:rsid w:val="558B6702"/>
    <w:rsid w:val="56006652"/>
    <w:rsid w:val="560E5DA5"/>
    <w:rsid w:val="56206B82"/>
    <w:rsid w:val="565E127F"/>
    <w:rsid w:val="56CC35AA"/>
    <w:rsid w:val="57E93B67"/>
    <w:rsid w:val="581E79A4"/>
    <w:rsid w:val="5945614C"/>
    <w:rsid w:val="59990BB0"/>
    <w:rsid w:val="59D96809"/>
    <w:rsid w:val="59F75D63"/>
    <w:rsid w:val="5A3860DD"/>
    <w:rsid w:val="5A722431"/>
    <w:rsid w:val="5AD57592"/>
    <w:rsid w:val="5ADB13EB"/>
    <w:rsid w:val="5B4D0210"/>
    <w:rsid w:val="5C1355C1"/>
    <w:rsid w:val="5D783DA4"/>
    <w:rsid w:val="5E0F203E"/>
    <w:rsid w:val="5E24759E"/>
    <w:rsid w:val="5E7F0A80"/>
    <w:rsid w:val="5EB2760C"/>
    <w:rsid w:val="5F305308"/>
    <w:rsid w:val="5F982FDC"/>
    <w:rsid w:val="5FD4452A"/>
    <w:rsid w:val="606A5F02"/>
    <w:rsid w:val="60AF6781"/>
    <w:rsid w:val="61C45056"/>
    <w:rsid w:val="62A14ED7"/>
    <w:rsid w:val="63237411"/>
    <w:rsid w:val="63384C57"/>
    <w:rsid w:val="63943E27"/>
    <w:rsid w:val="63EA668D"/>
    <w:rsid w:val="64236D28"/>
    <w:rsid w:val="657973B5"/>
    <w:rsid w:val="65943093"/>
    <w:rsid w:val="65A91046"/>
    <w:rsid w:val="665B6407"/>
    <w:rsid w:val="67465002"/>
    <w:rsid w:val="67DD7FE8"/>
    <w:rsid w:val="689260D4"/>
    <w:rsid w:val="690248EB"/>
    <w:rsid w:val="69B97127"/>
    <w:rsid w:val="69C27F6F"/>
    <w:rsid w:val="6A022EDB"/>
    <w:rsid w:val="6A090639"/>
    <w:rsid w:val="6A9A3C38"/>
    <w:rsid w:val="6AB512AA"/>
    <w:rsid w:val="6ADB49C2"/>
    <w:rsid w:val="6AE245AE"/>
    <w:rsid w:val="6B15430F"/>
    <w:rsid w:val="6B3C75DC"/>
    <w:rsid w:val="6BFF79C4"/>
    <w:rsid w:val="6C7A7F0C"/>
    <w:rsid w:val="6D073FC3"/>
    <w:rsid w:val="6E3C52B6"/>
    <w:rsid w:val="6F9D15AA"/>
    <w:rsid w:val="709D1FEE"/>
    <w:rsid w:val="71030ED1"/>
    <w:rsid w:val="718D41D8"/>
    <w:rsid w:val="72D97D37"/>
    <w:rsid w:val="73E715CB"/>
    <w:rsid w:val="74CB5633"/>
    <w:rsid w:val="7545495F"/>
    <w:rsid w:val="756E5B6B"/>
    <w:rsid w:val="76D42AC8"/>
    <w:rsid w:val="77294FAD"/>
    <w:rsid w:val="773E6EAF"/>
    <w:rsid w:val="779859AC"/>
    <w:rsid w:val="779F79B3"/>
    <w:rsid w:val="78875F51"/>
    <w:rsid w:val="792F5B59"/>
    <w:rsid w:val="79F41FBE"/>
    <w:rsid w:val="7ABF6748"/>
    <w:rsid w:val="7B0D4A78"/>
    <w:rsid w:val="7B26312F"/>
    <w:rsid w:val="7BB9484A"/>
    <w:rsid w:val="7C1B328D"/>
    <w:rsid w:val="7C1F4980"/>
    <w:rsid w:val="7C56527A"/>
    <w:rsid w:val="7CF24E12"/>
    <w:rsid w:val="7D5950F6"/>
    <w:rsid w:val="7DA72CB6"/>
    <w:rsid w:val="7E2D0F38"/>
    <w:rsid w:val="7ECA0946"/>
    <w:rsid w:val="7F64287A"/>
    <w:rsid w:val="7F7066F9"/>
    <w:rsid w:val="7FDB7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semiHidden/>
    <w:qFormat/>
    <w:uiPriority w:val="0"/>
    <w:rPr>
      <w:sz w:val="18"/>
      <w:szCs w:val="18"/>
    </w:rPr>
  </w:style>
  <w:style w:type="paragraph" w:styleId="4">
    <w:name w:val="footer"/>
    <w:basedOn w:val="1"/>
    <w:link w:val="16"/>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0"/>
    <w:rPr>
      <w:color w:val="0000FF"/>
      <w:u w:val="single"/>
    </w:rPr>
  </w:style>
  <w:style w:type="character" w:styleId="11">
    <w:name w:val="annotation reference"/>
    <w:qFormat/>
    <w:uiPriority w:val="0"/>
    <w:rPr>
      <w:sz w:val="21"/>
      <w:szCs w:val="21"/>
    </w:rPr>
  </w:style>
  <w:style w:type="character" w:customStyle="1" w:styleId="12">
    <w:name w:val="ask-title2"/>
    <w:basedOn w:val="9"/>
    <w:qFormat/>
    <w:uiPriority w:val="0"/>
  </w:style>
  <w:style w:type="character" w:customStyle="1" w:styleId="13">
    <w:name w:val="批注文字 字符"/>
    <w:link w:val="2"/>
    <w:qFormat/>
    <w:uiPriority w:val="0"/>
    <w:rPr>
      <w:kern w:val="2"/>
      <w:sz w:val="21"/>
      <w:szCs w:val="24"/>
    </w:rPr>
  </w:style>
  <w:style w:type="character" w:customStyle="1" w:styleId="14">
    <w:name w:val="批注主题 字符"/>
    <w:link w:val="6"/>
    <w:qFormat/>
    <w:uiPriority w:val="0"/>
    <w:rPr>
      <w:b/>
      <w:bCs/>
      <w:kern w:val="2"/>
      <w:sz w:val="21"/>
      <w:szCs w:val="24"/>
    </w:rPr>
  </w:style>
  <w:style w:type="paragraph" w:styleId="15">
    <w:name w:val="List Paragraph"/>
    <w:basedOn w:val="1"/>
    <w:qFormat/>
    <w:uiPriority w:val="34"/>
    <w:pPr>
      <w:ind w:firstLine="420" w:firstLineChars="200"/>
    </w:pPr>
  </w:style>
  <w:style w:type="character" w:customStyle="1" w:styleId="16">
    <w:name w:val="页脚 字符"/>
    <w:basedOn w:val="9"/>
    <w:link w:val="4"/>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2BC25-DDF5-4D58-AE2F-83C392EA48C1}">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5</Pages>
  <Words>2327</Words>
  <Characters>2529</Characters>
  <Lines>78</Lines>
  <Paragraphs>22</Paragraphs>
  <TotalTime>1</TotalTime>
  <ScaleCrop>false</ScaleCrop>
  <LinksUpToDate>false</LinksUpToDate>
  <CharactersWithSpaces>2541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2018-12-31T08:39:00Z</dcterms:created>
  <dc:creator>MC SYSTEM</dc:creator>
  <cp:lastModifiedBy>张永健</cp:lastModifiedBy>
  <cp:lastPrinted>2019-01-09T09:35:00Z</cp:lastPrinted>
  <dcterms:modified xsi:type="dcterms:W3CDTF">2022-08-27T09:58:04Z</dcterms:modified>
  <dc:title>总说明</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25DE7411A2CD40D9A98C68413760F5DA</vt:lpwstr>
  </property>
</Properties>
</file>